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C1" w:rsidRDefault="00001DC1" w:rsidP="00001DC1">
      <w:pPr>
        <w:widowControl/>
        <w:pBdr>
          <w:bottom w:val="single" w:sz="6" w:space="1" w:color="auto"/>
        </w:pBdr>
        <w:spacing w:before="100" w:beforeAutospacing="1" w:after="100" w:afterAutospacing="1"/>
        <w:jc w:val="center"/>
        <w:outlineLvl w:val="0"/>
        <w:rPr>
          <w:rFonts w:ascii="Arial" w:eastAsia="宋体" w:hAnsi="Arial" w:cs="Arial" w:hint="eastAsia"/>
          <w:b/>
          <w:bCs/>
          <w:kern w:val="36"/>
          <w:sz w:val="32"/>
          <w:szCs w:val="32"/>
        </w:rPr>
      </w:pPr>
      <w:r w:rsidRPr="00001DC1">
        <w:rPr>
          <w:rFonts w:ascii="Arial" w:eastAsia="宋体" w:hAnsi="Arial" w:cs="Arial"/>
          <w:b/>
          <w:bCs/>
          <w:kern w:val="36"/>
          <w:sz w:val="32"/>
          <w:szCs w:val="32"/>
        </w:rPr>
        <w:t>上海期货交易所交割细则</w:t>
      </w:r>
    </w:p>
    <w:p w:rsidR="00001DC1" w:rsidRPr="00001DC1" w:rsidRDefault="00001DC1" w:rsidP="00001DC1">
      <w:pPr>
        <w:widowControl/>
        <w:spacing w:before="100" w:beforeAutospacing="1" w:after="100" w:afterAutospacing="1"/>
        <w:ind w:firstLineChars="2050" w:firstLine="4920"/>
        <w:jc w:val="left"/>
        <w:rPr>
          <w:rFonts w:ascii="Arial" w:eastAsia="宋体" w:hAnsi="Arial" w:cs="Arial"/>
          <w:kern w:val="0"/>
          <w:sz w:val="24"/>
          <w:szCs w:val="24"/>
        </w:rPr>
      </w:pPr>
      <w:r w:rsidRPr="00001DC1">
        <w:rPr>
          <w:rFonts w:ascii="Arial" w:eastAsia="宋体" w:hAnsi="Arial" w:cs="Arial"/>
          <w:kern w:val="0"/>
          <w:sz w:val="24"/>
          <w:szCs w:val="24"/>
        </w:rPr>
        <w:t>发布日期：</w:t>
      </w:r>
      <w:r w:rsidRPr="00001DC1">
        <w:rPr>
          <w:rFonts w:ascii="Arial" w:eastAsia="宋体" w:hAnsi="Arial" w:cs="Arial"/>
          <w:kern w:val="0"/>
          <w:sz w:val="24"/>
          <w:szCs w:val="24"/>
        </w:rPr>
        <w:t>2016-05-18</w:t>
      </w:r>
    </w:p>
    <w:p w:rsidR="00001DC1" w:rsidRPr="00001DC1" w:rsidRDefault="00001DC1" w:rsidP="00001DC1">
      <w:pPr>
        <w:widowControl/>
        <w:spacing w:before="100" w:beforeAutospacing="1" w:after="100" w:afterAutospacing="1"/>
        <w:jc w:val="center"/>
        <w:rPr>
          <w:rFonts w:ascii="Arial" w:eastAsia="宋体" w:hAnsi="Arial" w:cs="Arial"/>
          <w:kern w:val="0"/>
          <w:sz w:val="24"/>
          <w:szCs w:val="24"/>
        </w:rPr>
      </w:pPr>
      <w:r w:rsidRPr="00001DC1">
        <w:rPr>
          <w:rFonts w:ascii="Arial" w:eastAsia="宋体" w:hAnsi="Arial" w:cs="Arial"/>
          <w:kern w:val="0"/>
          <w:sz w:val="24"/>
          <w:szCs w:val="24"/>
        </w:rPr>
        <w:t> </w:t>
      </w:r>
      <w:r w:rsidRPr="00001DC1">
        <w:rPr>
          <w:rFonts w:ascii="仿宋" w:eastAsia="仿宋" w:hAnsi="仿宋" w:cs="Arial" w:hint="eastAsia"/>
          <w:b/>
          <w:bCs/>
          <w:kern w:val="0"/>
          <w:sz w:val="32"/>
          <w:szCs w:val="32"/>
        </w:rPr>
        <w:t>第一章 总 则</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第一条 为保证上海期货交易所（以下简称交易所）期货交割业务的正常进行，规范实物交割行为，根据《上海期货交易所交易规则》，制定本细则。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第二条 交易所交割业务按本细则进行，交易所、会员、客户及指定交割仓库应当遵守本细则。</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宋体" w:eastAsia="宋体" w:hAnsi="宋体" w:cs="宋体" w:hint="eastAsia"/>
          <w:kern w:val="0"/>
          <w:sz w:val="32"/>
          <w:szCs w:val="32"/>
        </w:rPr>
        <w:t> </w:t>
      </w:r>
    </w:p>
    <w:p w:rsidR="00001DC1" w:rsidRPr="00001DC1" w:rsidRDefault="00001DC1" w:rsidP="00001DC1">
      <w:pPr>
        <w:widowControl/>
        <w:adjustRightInd w:val="0"/>
        <w:spacing w:before="100" w:beforeAutospacing="1" w:after="100" w:afterAutospacing="1" w:line="520" w:lineRule="exact"/>
        <w:jc w:val="center"/>
        <w:rPr>
          <w:rFonts w:ascii="宋体" w:eastAsia="宋体" w:hAnsi="宋体" w:cs="宋体"/>
          <w:kern w:val="0"/>
          <w:sz w:val="24"/>
          <w:szCs w:val="24"/>
        </w:rPr>
      </w:pPr>
      <w:r w:rsidRPr="00001DC1">
        <w:rPr>
          <w:rFonts w:ascii="仿宋" w:eastAsia="仿宋" w:hAnsi="仿宋" w:cs="宋体" w:hint="eastAsia"/>
          <w:b/>
          <w:bCs/>
          <w:kern w:val="0"/>
          <w:sz w:val="32"/>
          <w:szCs w:val="32"/>
        </w:rPr>
        <w:t>第二章 交割流程</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第三条 实物交割是指期货合约到期时，交易双方通过该期货合约所载商品所有权的转移，了结到期未平仓合约的过程。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第四条 在合约最后交易日后，所有未平仓合约的持有者应当以实物交割方式履约。客户的实物交割应当由会员办理，并以会员名义在交易所进行。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不能交付或者接收增值税专用发票的客户不允许交割。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某一期货合约最后交易日前第三个交易日收盘后，自然人客户该期货合约的持仓应当为0手。自最后交易日前第二个交易日起，对自然人客户的交割月份持仓直接由交易所强行平仓。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lastRenderedPageBreak/>
        <w:t>第五条 实物交割应当在合约规定的交割期内完成。交割期是指该合约最后交易日后的连续五个工作日。该五个交割日分别称为第一、第二、第三、第四、第五交割日，第五交割日为最后交割日。</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第六条 交割程序:</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（一）第一交割日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1、买方申报意向。买方在第一交割日内，向交易所提交所需商品的意向书。内容包括品种、牌号、数量及指定交割仓库名等。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2、卖方交标准仓单（螺纹钢、线材和热轧卷板期货合约还允许提交厂库标准仓单）。卖方在第一交割日内通过标准仓单管理系统将已付清仓储费用的有效标准仓单交交易所。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厂库标准仓单的有关规定参见《上海期货交易所指定钢材厂库交割办法（试行）》。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（二）第二交割日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交易所分配标准仓单。交易所在第二交割</w:t>
      </w:r>
      <w:proofErr w:type="gramStart"/>
      <w:r w:rsidRPr="00001DC1">
        <w:rPr>
          <w:rFonts w:ascii="仿宋" w:eastAsia="仿宋" w:hAnsi="仿宋" w:cs="宋体" w:hint="eastAsia"/>
          <w:kern w:val="0"/>
          <w:sz w:val="32"/>
          <w:szCs w:val="32"/>
        </w:rPr>
        <w:t>日根据</w:t>
      </w:r>
      <w:proofErr w:type="gramEnd"/>
      <w:r w:rsidRPr="00001DC1">
        <w:rPr>
          <w:rFonts w:ascii="仿宋" w:eastAsia="仿宋" w:hAnsi="仿宋" w:cs="宋体" w:hint="eastAsia"/>
          <w:kern w:val="0"/>
          <w:sz w:val="32"/>
          <w:szCs w:val="32"/>
        </w:rPr>
        <w:t xml:space="preserve">已有资源，按照“时间优先、数量取整、就近配对、统筹安排”的原则，向买方分配标准仓单。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不能用于下一期货合约交割的标准仓单，交易所按所占当月交割总量的比例向买方分摊。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lastRenderedPageBreak/>
        <w:t xml:space="preserve">（三）第三交割日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1、买方交款、取单。买方应当在第三交割日14:00前到交易所交付货款并取得标准仓单。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2、卖方收款。交易所应当在第三交割日16:00前将货款付给卖方，如遇特殊情况交易所可以延长交割货款给付时间。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（四）第四、五交割日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卖方交增值税专用发票。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第七条 标准仓单在交易所进行实物交割的，其流转程序如下: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（一）卖方客户将标准仓单授权给卖方期货公司会员以办理实物交割业务;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（二）卖方会员将标准仓单提交给交易所;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（三）交易所将标准仓单分配给买方会员;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（四）买方期货公司会员将标准仓单分配给买方客户。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第八条 实物交割完成后，若买方对交割商品的质量、数量有异议的（天然橡胶、白银有异议的交割商品应当在指定交割仓库内），应当在实物交割月份的下一月份的15日之前（含当日，遇法定假日时顺延至假日后的第一个工作日），向交易所提出书面申请，并应当同时提供本交易所指定的质量监督检验机构（见附件一，铅、镍、锡、白银指定的质量</w:t>
      </w:r>
      <w:r w:rsidRPr="00001DC1">
        <w:rPr>
          <w:rFonts w:ascii="仿宋" w:eastAsia="仿宋" w:hAnsi="仿宋" w:cs="宋体" w:hint="eastAsia"/>
          <w:kern w:val="0"/>
          <w:sz w:val="32"/>
          <w:szCs w:val="32"/>
        </w:rPr>
        <w:lastRenderedPageBreak/>
        <w:t xml:space="preserve">监督检验机构名单由交易所另行公告）出具的质量鉴定结论。逾期未提出申请的，视为买方对所交割商品无异议，交易所不再受理交割商品有异议的申请。但螺纹钢、线材和热轧卷板交割商品的质量、数量异议相关要求本条第二款另有规定的，从其规定。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螺纹钢、线材和热轧卷板实物交割完成后，若买方对交割商品的质量、数量有异议的（有异议的交割商品应当在指定交割仓库内），应当在实物交割月份的下一月份的15日之前（含当日，遇法定假日时顺延至假日后的第一个工作日），向交易所提出书面申请，并应当同时提供本交易所指定的质量监督检验机构（螺纹钢、线材和热轧卷板指定的质量监督检验机构名单由交易所另行公告）出具的质量鉴定结论。用于交割的螺纹钢、线材和热轧卷板每批商品的有效期应当涵盖本次交割的最后交割日。即使交割螺纹钢、线材和热轧卷板的每批商品的有效期截止时间早于质量异议期的提交截止时间，如果该批商品的质量鉴定结论不合格，卖方对该批交割商品的实际质量仍需承担全部责任。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第九条 买方如需将交割商品再用于将来的交割，应当按规定重新办理有关手续。 </w:t>
      </w:r>
    </w:p>
    <w:p w:rsidR="00001DC1" w:rsidRPr="00001DC1" w:rsidRDefault="00001DC1" w:rsidP="00001DC1">
      <w:pPr>
        <w:widowControl/>
        <w:tabs>
          <w:tab w:val="left" w:pos="420"/>
          <w:tab w:val="center" w:pos="4153"/>
          <w:tab w:val="right" w:pos="8306"/>
        </w:tabs>
        <w:spacing w:before="100" w:beforeAutospacing="1" w:after="100" w:afterAutospacing="1" w:line="520" w:lineRule="exact"/>
        <w:jc w:val="center"/>
        <w:rPr>
          <w:rFonts w:ascii="宋体" w:eastAsia="宋体" w:hAnsi="宋体" w:cs="宋体"/>
          <w:kern w:val="0"/>
          <w:sz w:val="24"/>
          <w:szCs w:val="24"/>
        </w:rPr>
      </w:pPr>
      <w:r w:rsidRPr="00001DC1">
        <w:rPr>
          <w:rFonts w:ascii="仿宋" w:eastAsia="仿宋" w:hAnsi="仿宋" w:cs="宋体" w:hint="eastAsia"/>
          <w:b/>
          <w:bCs/>
          <w:kern w:val="0"/>
          <w:sz w:val="32"/>
          <w:szCs w:val="32"/>
        </w:rPr>
        <w:t>第三章 入库与出库</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第十条 货主向指定交割仓库发货前，应当办理入库申报（交割预报）。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入库申报的内容包括品种、等级（牌号）、商标、数量、发货单位</w:t>
      </w:r>
      <w:proofErr w:type="gramStart"/>
      <w:r w:rsidRPr="00001DC1">
        <w:rPr>
          <w:rFonts w:ascii="仿宋" w:eastAsia="仿宋" w:hAnsi="仿宋" w:cs="宋体" w:hint="eastAsia"/>
          <w:kern w:val="0"/>
          <w:sz w:val="32"/>
          <w:szCs w:val="32"/>
        </w:rPr>
        <w:t>及拟入指定</w:t>
      </w:r>
      <w:proofErr w:type="gramEnd"/>
      <w:r w:rsidRPr="00001DC1">
        <w:rPr>
          <w:rFonts w:ascii="仿宋" w:eastAsia="仿宋" w:hAnsi="仿宋" w:cs="宋体" w:hint="eastAsia"/>
          <w:kern w:val="0"/>
          <w:sz w:val="32"/>
          <w:szCs w:val="32"/>
        </w:rPr>
        <w:t xml:space="preserve">交割仓库名称等，并提供各项单证等。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lastRenderedPageBreak/>
        <w:t xml:space="preserve">客户应当委托期货公司会员办理交割预报（入库申报）手续。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第十一条 交易所在库容允许情况下，考虑货主意愿，在3个交易日内决定是否批准入库。货主应当在交易所规定的有效期</w:t>
      </w:r>
      <w:proofErr w:type="gramStart"/>
      <w:r w:rsidRPr="00001DC1">
        <w:rPr>
          <w:rFonts w:ascii="仿宋" w:eastAsia="仿宋" w:hAnsi="仿宋" w:cs="宋体" w:hint="eastAsia"/>
          <w:kern w:val="0"/>
          <w:sz w:val="32"/>
          <w:szCs w:val="32"/>
        </w:rPr>
        <w:t>内向已</w:t>
      </w:r>
      <w:proofErr w:type="gramEnd"/>
      <w:r w:rsidRPr="00001DC1">
        <w:rPr>
          <w:rFonts w:ascii="仿宋" w:eastAsia="仿宋" w:hAnsi="仿宋" w:cs="宋体" w:hint="eastAsia"/>
          <w:kern w:val="0"/>
          <w:sz w:val="32"/>
          <w:szCs w:val="32"/>
        </w:rPr>
        <w:t xml:space="preserve">批准的入库申报中确定的指定交割仓库发货。未经过交易所批准入库或未在规定的有效期内入库的商品不能用于交割。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第十二条 商品运抵指定交割仓库后，指定交割仓库按交易所有关规定对到货及相关凭证进行验核。验收完毕后，指定交割仓库应当将入库验收的结果输入标准仓单管理系统。会员向交易所提交制作标准仓单申请在获得交易所批准后，指定交割仓库方可签发标准仓单。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商品到库验收时，货主应当到指定交割仓库监收; 货主不</w:t>
      </w:r>
      <w:proofErr w:type="gramStart"/>
      <w:r w:rsidRPr="00001DC1">
        <w:rPr>
          <w:rFonts w:ascii="仿宋" w:eastAsia="仿宋" w:hAnsi="仿宋" w:cs="宋体" w:hint="eastAsia"/>
          <w:kern w:val="0"/>
          <w:sz w:val="32"/>
          <w:szCs w:val="32"/>
        </w:rPr>
        <w:t>到库监收</w:t>
      </w:r>
      <w:proofErr w:type="gramEnd"/>
      <w:r w:rsidRPr="00001DC1">
        <w:rPr>
          <w:rFonts w:ascii="仿宋" w:eastAsia="仿宋" w:hAnsi="仿宋" w:cs="宋体" w:hint="eastAsia"/>
          <w:kern w:val="0"/>
          <w:sz w:val="32"/>
          <w:szCs w:val="32"/>
        </w:rPr>
        <w:t xml:space="preserve">的，视为货主同意指定交割仓库验收结果。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第十三条 标准仓单合法持有人提货时，指定交割仓库在对标准仓单审核无误后予以发货。货主可以自行到库提货或委托指定交割仓库代为发运，但委托指定交割仓库代为发运时货主应当到库监发。货主不到库监发，视为认可指定交割仓库发货无误。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第十四条 指定交割仓库发货时，应当及时填制《标准仓单出库确认单》（一式二份，货主和指定交割仓库各执一份），并妥善保管备查。 </w:t>
      </w:r>
    </w:p>
    <w:p w:rsidR="00001DC1" w:rsidRPr="00001DC1" w:rsidRDefault="00001DC1" w:rsidP="00001DC1">
      <w:pPr>
        <w:widowControl/>
        <w:tabs>
          <w:tab w:val="left" w:pos="420"/>
          <w:tab w:val="center" w:pos="4153"/>
          <w:tab w:val="right" w:pos="8306"/>
        </w:tabs>
        <w:spacing w:before="100" w:beforeAutospacing="1" w:after="100" w:afterAutospacing="1" w:line="520" w:lineRule="exact"/>
        <w:jc w:val="center"/>
        <w:rPr>
          <w:rFonts w:ascii="宋体" w:eastAsia="宋体" w:hAnsi="宋体" w:cs="宋体"/>
          <w:kern w:val="0"/>
          <w:sz w:val="24"/>
          <w:szCs w:val="24"/>
        </w:rPr>
      </w:pPr>
      <w:r w:rsidRPr="00001DC1">
        <w:rPr>
          <w:rFonts w:ascii="仿宋" w:eastAsia="仿宋" w:hAnsi="仿宋" w:cs="宋体" w:hint="eastAsia"/>
          <w:b/>
          <w:bCs/>
          <w:kern w:val="0"/>
          <w:sz w:val="32"/>
          <w:szCs w:val="32"/>
        </w:rPr>
        <w:t>第四章 阴极铜的交割</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lastRenderedPageBreak/>
        <w:t xml:space="preserve">第十五条 交割单位：25吨。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第十六条 交割品级见《上海期货交易所阴极铜标准合约》。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第十七条 交割商品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应当是在本交易所注册的生产厂生产的注册商标的商品。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第十八条 交割商品的包装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（一）商品的包装：每一交割单位阴极</w:t>
      </w:r>
      <w:proofErr w:type="gramStart"/>
      <w:r w:rsidRPr="00001DC1">
        <w:rPr>
          <w:rFonts w:ascii="仿宋" w:eastAsia="仿宋" w:hAnsi="仿宋" w:cs="宋体" w:hint="eastAsia"/>
          <w:kern w:val="0"/>
          <w:sz w:val="32"/>
          <w:szCs w:val="32"/>
        </w:rPr>
        <w:t>铜应当</w:t>
      </w:r>
      <w:proofErr w:type="gramEnd"/>
      <w:r w:rsidRPr="00001DC1">
        <w:rPr>
          <w:rFonts w:ascii="仿宋" w:eastAsia="仿宋" w:hAnsi="仿宋" w:cs="宋体" w:hint="eastAsia"/>
          <w:kern w:val="0"/>
          <w:sz w:val="32"/>
          <w:szCs w:val="32"/>
        </w:rPr>
        <w:t>是同一生产企业生产、同一注册商标、同一质量品级、同一块形、</w:t>
      </w:r>
      <w:proofErr w:type="gramStart"/>
      <w:r w:rsidRPr="00001DC1">
        <w:rPr>
          <w:rFonts w:ascii="仿宋" w:eastAsia="仿宋" w:hAnsi="仿宋" w:cs="宋体" w:hint="eastAsia"/>
          <w:kern w:val="0"/>
          <w:sz w:val="32"/>
          <w:szCs w:val="32"/>
        </w:rPr>
        <w:t>捆重近似</w:t>
      </w:r>
      <w:proofErr w:type="gramEnd"/>
      <w:r w:rsidRPr="00001DC1">
        <w:rPr>
          <w:rFonts w:ascii="仿宋" w:eastAsia="仿宋" w:hAnsi="仿宋" w:cs="宋体" w:hint="eastAsia"/>
          <w:kern w:val="0"/>
          <w:sz w:val="32"/>
          <w:szCs w:val="32"/>
        </w:rPr>
        <w:t>的商品组成。注册生产企业自行选定注册产品捆重，但要</w:t>
      </w:r>
      <w:proofErr w:type="gramStart"/>
      <w:r w:rsidRPr="00001DC1">
        <w:rPr>
          <w:rFonts w:ascii="仿宋" w:eastAsia="仿宋" w:hAnsi="仿宋" w:cs="宋体" w:hint="eastAsia"/>
          <w:kern w:val="0"/>
          <w:sz w:val="32"/>
          <w:szCs w:val="32"/>
        </w:rPr>
        <w:t>利于组手</w:t>
      </w:r>
      <w:proofErr w:type="gramEnd"/>
      <w:r w:rsidRPr="00001DC1">
        <w:rPr>
          <w:rFonts w:ascii="仿宋" w:eastAsia="仿宋" w:hAnsi="仿宋" w:cs="宋体" w:hint="eastAsia"/>
          <w:kern w:val="0"/>
          <w:sz w:val="32"/>
          <w:szCs w:val="32"/>
        </w:rPr>
        <w:t>，每捆包装采用表面作防锈处理的钢带井字形捆扎（或者坚固程度相当的钢带捆扎方式），捆扎应当坚固，同时标有醒目的、不易脱落的商品标志</w:t>
      </w:r>
      <w:proofErr w:type="gramStart"/>
      <w:r w:rsidRPr="00001DC1">
        <w:rPr>
          <w:rFonts w:ascii="仿宋" w:eastAsia="仿宋" w:hAnsi="仿宋" w:cs="宋体" w:hint="eastAsia"/>
          <w:kern w:val="0"/>
          <w:sz w:val="32"/>
          <w:szCs w:val="32"/>
        </w:rPr>
        <w:t>及捆重</w:t>
      </w:r>
      <w:proofErr w:type="gramEnd"/>
      <w:r w:rsidRPr="00001DC1">
        <w:rPr>
          <w:rFonts w:ascii="仿宋" w:eastAsia="仿宋" w:hAnsi="仿宋" w:cs="宋体" w:hint="eastAsia"/>
          <w:kern w:val="0"/>
          <w:sz w:val="32"/>
          <w:szCs w:val="32"/>
        </w:rPr>
        <w:t xml:space="preserve">。每捆重量不超过4吨。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（二）到</w:t>
      </w:r>
      <w:proofErr w:type="gramStart"/>
      <w:r w:rsidRPr="00001DC1">
        <w:rPr>
          <w:rFonts w:ascii="仿宋" w:eastAsia="仿宋" w:hAnsi="仿宋" w:cs="宋体" w:hint="eastAsia"/>
          <w:kern w:val="0"/>
          <w:sz w:val="32"/>
          <w:szCs w:val="32"/>
        </w:rPr>
        <w:t>库商品</w:t>
      </w:r>
      <w:proofErr w:type="gramEnd"/>
      <w:r w:rsidRPr="00001DC1">
        <w:rPr>
          <w:rFonts w:ascii="仿宋" w:eastAsia="仿宋" w:hAnsi="仿宋" w:cs="宋体" w:hint="eastAsia"/>
          <w:kern w:val="0"/>
          <w:sz w:val="32"/>
          <w:szCs w:val="32"/>
        </w:rPr>
        <w:t>中，遇有包装钢带断裂或严重锈蚀的</w:t>
      </w:r>
      <w:proofErr w:type="gramStart"/>
      <w:r w:rsidRPr="00001DC1">
        <w:rPr>
          <w:rFonts w:ascii="仿宋" w:eastAsia="仿宋" w:hAnsi="仿宋" w:cs="宋体" w:hint="eastAsia"/>
          <w:kern w:val="0"/>
          <w:sz w:val="32"/>
          <w:szCs w:val="32"/>
        </w:rPr>
        <w:t>捆件及散块</w:t>
      </w:r>
      <w:proofErr w:type="gramEnd"/>
      <w:r w:rsidRPr="00001DC1">
        <w:rPr>
          <w:rFonts w:ascii="仿宋" w:eastAsia="仿宋" w:hAnsi="仿宋" w:cs="宋体" w:hint="eastAsia"/>
          <w:kern w:val="0"/>
          <w:sz w:val="32"/>
          <w:szCs w:val="32"/>
        </w:rPr>
        <w:t xml:space="preserve">商品，应当重新组合，用规定的钢带捆扎紧固，方可用于交割。包装费用由货主承担。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第十九条 交割商品必备单证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（一）国产商品：应当提供注册生产企业出具的产品质量证明书。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lastRenderedPageBreak/>
        <w:t xml:space="preserve">（二）进口商品：应当提供产品质量证明书、产地证明书、商检证书、海关进口关税专用缴款书、海关代征增值税专用缴款书，经交易所审定合格为有效。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国家税收、商检等政策调整的，应当遵守其规定，相关进口商品的单证要求由交易所另行发布。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第二十条 溢短和磅差：每张标准仓单所列阴极铜的重量为25吨，溢短不超过±2%。磅差不超过±0.2%。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第二十一条 在交割期内，如当日14:00之前办妥标准仓单、增值税专用发票、货款等交割事宜的，交易所当日即清退其相应的交割部位保证金。如当日14:00之后办妥的，交易所将在下一交易日清退交割部位保证金。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第二十二条 交收地点：交易所指定交割仓库，见附件二。 </w:t>
      </w:r>
    </w:p>
    <w:p w:rsidR="00001DC1" w:rsidRPr="00001DC1" w:rsidRDefault="00001DC1" w:rsidP="00001DC1">
      <w:pPr>
        <w:widowControl/>
        <w:adjustRightInd w:val="0"/>
        <w:spacing w:before="100" w:beforeAutospacing="1" w:after="100" w:afterAutospacing="1" w:line="520" w:lineRule="exact"/>
        <w:ind w:firstLineChars="200" w:firstLine="480"/>
        <w:jc w:val="left"/>
        <w:rPr>
          <w:rFonts w:ascii="宋体" w:eastAsia="宋体" w:hAnsi="宋体" w:cs="宋体"/>
          <w:kern w:val="0"/>
          <w:sz w:val="24"/>
          <w:szCs w:val="24"/>
        </w:rPr>
      </w:pPr>
      <w:r w:rsidRPr="00001DC1">
        <w:rPr>
          <w:rFonts w:ascii="宋体" w:eastAsia="宋体" w:hAnsi="宋体" w:cs="宋体"/>
          <w:kern w:val="0"/>
          <w:sz w:val="24"/>
          <w:szCs w:val="24"/>
        </w:rPr>
        <w:t> </w:t>
      </w:r>
    </w:p>
    <w:p w:rsidR="00001DC1" w:rsidRPr="00001DC1" w:rsidRDefault="00001DC1" w:rsidP="00001DC1">
      <w:pPr>
        <w:widowControl/>
        <w:tabs>
          <w:tab w:val="left" w:pos="420"/>
          <w:tab w:val="center" w:pos="4153"/>
          <w:tab w:val="right" w:pos="8306"/>
        </w:tabs>
        <w:spacing w:before="100" w:beforeAutospacing="1" w:after="100" w:afterAutospacing="1" w:line="520" w:lineRule="exact"/>
        <w:jc w:val="center"/>
        <w:rPr>
          <w:rFonts w:ascii="宋体" w:eastAsia="宋体" w:hAnsi="宋体" w:cs="宋体"/>
          <w:kern w:val="0"/>
          <w:sz w:val="24"/>
          <w:szCs w:val="24"/>
        </w:rPr>
      </w:pPr>
      <w:r w:rsidRPr="00001DC1">
        <w:rPr>
          <w:rFonts w:ascii="仿宋" w:eastAsia="仿宋" w:hAnsi="仿宋" w:cs="宋体" w:hint="eastAsia"/>
          <w:b/>
          <w:bCs/>
          <w:kern w:val="0"/>
          <w:sz w:val="32"/>
          <w:szCs w:val="32"/>
        </w:rPr>
        <w:t>第五章 铝锭的交割</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第二十三条 交割单位：25吨。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第二十四条 交割品级见《上海期货交易所铝标准合约》。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第二十五条 交割商品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应当是在本交易所注册的生产厂生产的注册商标的商品。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lastRenderedPageBreak/>
        <w:t xml:space="preserve">第二十六条 交割商品的包装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（一）商品的包装：每一交割单位的铝锭应当是同一生产企业生产、同一注册商标、同一质量品级、同一块形、同一包装数量（</w:t>
      </w:r>
      <w:proofErr w:type="gramStart"/>
      <w:r w:rsidRPr="00001DC1">
        <w:rPr>
          <w:rFonts w:ascii="仿宋" w:eastAsia="仿宋" w:hAnsi="仿宋" w:cs="宋体" w:hint="eastAsia"/>
          <w:kern w:val="0"/>
          <w:sz w:val="32"/>
          <w:szCs w:val="32"/>
        </w:rPr>
        <w:t>捆重近似</w:t>
      </w:r>
      <w:proofErr w:type="gramEnd"/>
      <w:r w:rsidRPr="00001DC1">
        <w:rPr>
          <w:rFonts w:ascii="仿宋" w:eastAsia="仿宋" w:hAnsi="仿宋" w:cs="宋体" w:hint="eastAsia"/>
          <w:kern w:val="0"/>
          <w:sz w:val="32"/>
          <w:szCs w:val="32"/>
        </w:rPr>
        <w:t>）的商品组成。注册生产企业自行选定注册产品捆重，但要</w:t>
      </w:r>
      <w:proofErr w:type="gramStart"/>
      <w:r w:rsidRPr="00001DC1">
        <w:rPr>
          <w:rFonts w:ascii="仿宋" w:eastAsia="仿宋" w:hAnsi="仿宋" w:cs="宋体" w:hint="eastAsia"/>
          <w:kern w:val="0"/>
          <w:sz w:val="32"/>
          <w:szCs w:val="32"/>
        </w:rPr>
        <w:t>利于组手</w:t>
      </w:r>
      <w:proofErr w:type="gramEnd"/>
      <w:r w:rsidRPr="00001DC1">
        <w:rPr>
          <w:rFonts w:ascii="仿宋" w:eastAsia="仿宋" w:hAnsi="仿宋" w:cs="宋体" w:hint="eastAsia"/>
          <w:kern w:val="0"/>
          <w:sz w:val="32"/>
          <w:szCs w:val="32"/>
        </w:rPr>
        <w:t>。每捆包装采用30-32*0.9-1.0mm 表面作防锈处理的钢带井字形捆扎，捆扎应当坚固，同时标有醒目的、不易脱落的产品商品标志、生产</w:t>
      </w:r>
      <w:proofErr w:type="gramStart"/>
      <w:r w:rsidRPr="00001DC1">
        <w:rPr>
          <w:rFonts w:ascii="仿宋" w:eastAsia="仿宋" w:hAnsi="仿宋" w:cs="宋体" w:hint="eastAsia"/>
          <w:kern w:val="0"/>
          <w:sz w:val="32"/>
          <w:szCs w:val="32"/>
        </w:rPr>
        <w:t>炉批编号及捆重</w:t>
      </w:r>
      <w:proofErr w:type="gramEnd"/>
      <w:r w:rsidRPr="00001DC1">
        <w:rPr>
          <w:rFonts w:ascii="仿宋" w:eastAsia="仿宋" w:hAnsi="仿宋" w:cs="宋体" w:hint="eastAsia"/>
          <w:kern w:val="0"/>
          <w:sz w:val="32"/>
          <w:szCs w:val="32"/>
        </w:rPr>
        <w:t xml:space="preserve">。每捆重量不超过2吨。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（二）到</w:t>
      </w:r>
      <w:proofErr w:type="gramStart"/>
      <w:r w:rsidRPr="00001DC1">
        <w:rPr>
          <w:rFonts w:ascii="仿宋" w:eastAsia="仿宋" w:hAnsi="仿宋" w:cs="宋体" w:hint="eastAsia"/>
          <w:kern w:val="0"/>
          <w:sz w:val="32"/>
          <w:szCs w:val="32"/>
        </w:rPr>
        <w:t>库商品</w:t>
      </w:r>
      <w:proofErr w:type="gramEnd"/>
      <w:r w:rsidRPr="00001DC1">
        <w:rPr>
          <w:rFonts w:ascii="仿宋" w:eastAsia="仿宋" w:hAnsi="仿宋" w:cs="宋体" w:hint="eastAsia"/>
          <w:kern w:val="0"/>
          <w:sz w:val="32"/>
          <w:szCs w:val="32"/>
        </w:rPr>
        <w:t>中，遇有包装钢带断裂或严重锈蚀的</w:t>
      </w:r>
      <w:proofErr w:type="gramStart"/>
      <w:r w:rsidRPr="00001DC1">
        <w:rPr>
          <w:rFonts w:ascii="仿宋" w:eastAsia="仿宋" w:hAnsi="仿宋" w:cs="宋体" w:hint="eastAsia"/>
          <w:kern w:val="0"/>
          <w:sz w:val="32"/>
          <w:szCs w:val="32"/>
        </w:rPr>
        <w:t>捆件及散块</w:t>
      </w:r>
      <w:proofErr w:type="gramEnd"/>
      <w:r w:rsidRPr="00001DC1">
        <w:rPr>
          <w:rFonts w:ascii="仿宋" w:eastAsia="仿宋" w:hAnsi="仿宋" w:cs="宋体" w:hint="eastAsia"/>
          <w:kern w:val="0"/>
          <w:sz w:val="32"/>
          <w:szCs w:val="32"/>
        </w:rPr>
        <w:t xml:space="preserve">商品，应当重新组合，用规定的钢带捆扎紧固，方可用于交割。包装费用由货主承担。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（三）国产铝每锭重量为15KG±2KG或20KG±2KG。进口铝的形状应当为锭，每锭重量在12KG到26KG之间。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第二十七条 交割商品必备单证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（一）国产商品：应当提供注册生产企业出具的产品质量证明书。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（二）进口商品：应当提供产品质量证明书、产地证明书、商检证书、海关进口关税专用缴款书、海关代征增值税专用缴款书，经本交易所审定合格为有效。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国家税收、商检等政策调整的，应当遵守其规定，相关进口商品的单证要求由交易所另行发布。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lastRenderedPageBreak/>
        <w:t xml:space="preserve">第二十八条 溢短：每张标准仓单所列铝锭的重量为25 吨，溢短不超过±2%。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第二十九条 磅差：不超过±0.1%。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第三十条 在交割期内，如当日14:00之前办妥标准仓单、增值税专用发票、货款等交割事宜的，交易所当日即清退其相应的交割部位保证金。如当日14:00之后办妥的，交易所将在下一交易日清退交割部位保证金。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第三十一条 交收地点：交易所指定交割仓库，见附件二。 </w:t>
      </w:r>
    </w:p>
    <w:p w:rsidR="00001DC1" w:rsidRPr="00001DC1" w:rsidRDefault="00001DC1" w:rsidP="00001DC1">
      <w:pPr>
        <w:widowControl/>
        <w:adjustRightInd w:val="0"/>
        <w:spacing w:before="100" w:beforeAutospacing="1" w:after="100" w:afterAutospacing="1" w:line="520" w:lineRule="exact"/>
        <w:ind w:firstLineChars="200" w:firstLine="480"/>
        <w:jc w:val="left"/>
        <w:rPr>
          <w:rFonts w:ascii="宋体" w:eastAsia="宋体" w:hAnsi="宋体" w:cs="宋体"/>
          <w:kern w:val="0"/>
          <w:sz w:val="24"/>
          <w:szCs w:val="24"/>
        </w:rPr>
      </w:pPr>
      <w:r w:rsidRPr="00001DC1">
        <w:rPr>
          <w:rFonts w:ascii="宋体" w:eastAsia="宋体" w:hAnsi="宋体" w:cs="宋体"/>
          <w:kern w:val="0"/>
          <w:sz w:val="24"/>
          <w:szCs w:val="24"/>
        </w:rPr>
        <w:t> </w:t>
      </w:r>
    </w:p>
    <w:p w:rsidR="00001DC1" w:rsidRPr="00001DC1" w:rsidRDefault="00001DC1" w:rsidP="00001DC1">
      <w:pPr>
        <w:widowControl/>
        <w:tabs>
          <w:tab w:val="left" w:pos="420"/>
          <w:tab w:val="center" w:pos="4153"/>
          <w:tab w:val="right" w:pos="8306"/>
        </w:tabs>
        <w:spacing w:before="100" w:beforeAutospacing="1" w:after="100" w:afterAutospacing="1" w:line="520" w:lineRule="exact"/>
        <w:jc w:val="center"/>
        <w:rPr>
          <w:rFonts w:ascii="宋体" w:eastAsia="宋体" w:hAnsi="宋体" w:cs="宋体"/>
          <w:kern w:val="0"/>
          <w:sz w:val="24"/>
          <w:szCs w:val="24"/>
        </w:rPr>
      </w:pPr>
      <w:r w:rsidRPr="00001DC1">
        <w:rPr>
          <w:rFonts w:ascii="仿宋" w:eastAsia="仿宋" w:hAnsi="仿宋" w:cs="宋体" w:hint="eastAsia"/>
          <w:b/>
          <w:bCs/>
          <w:kern w:val="0"/>
          <w:sz w:val="32"/>
          <w:szCs w:val="32"/>
        </w:rPr>
        <w:t>第六章 锌锭的交割</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第三十二条 交割单位：25吨。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第三十三条 交割品级见《上海期货交易所锌期货标准合约》。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第三十四条 交割商品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应当是在本交易所注册的生产厂生产的注册商标的商品。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第三十五条 交割商品的包装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（一）每一交割单位的锌锭应当是同一生产企业生产、同一注册商标、同一质量品级、同一块形、同一包装数量（</w:t>
      </w:r>
      <w:proofErr w:type="gramStart"/>
      <w:r w:rsidRPr="00001DC1">
        <w:rPr>
          <w:rFonts w:ascii="仿宋" w:eastAsia="仿宋" w:hAnsi="仿宋" w:cs="宋体" w:hint="eastAsia"/>
          <w:kern w:val="0"/>
          <w:sz w:val="32"/>
          <w:szCs w:val="32"/>
        </w:rPr>
        <w:t>捆</w:t>
      </w:r>
      <w:r w:rsidRPr="00001DC1">
        <w:rPr>
          <w:rFonts w:ascii="仿宋" w:eastAsia="仿宋" w:hAnsi="仿宋" w:cs="宋体" w:hint="eastAsia"/>
          <w:kern w:val="0"/>
          <w:sz w:val="32"/>
          <w:szCs w:val="32"/>
        </w:rPr>
        <w:lastRenderedPageBreak/>
        <w:t>重近似</w:t>
      </w:r>
      <w:proofErr w:type="gramEnd"/>
      <w:r w:rsidRPr="00001DC1">
        <w:rPr>
          <w:rFonts w:ascii="仿宋" w:eastAsia="仿宋" w:hAnsi="仿宋" w:cs="宋体" w:hint="eastAsia"/>
          <w:kern w:val="0"/>
          <w:sz w:val="32"/>
          <w:szCs w:val="32"/>
        </w:rPr>
        <w:t>）的商品组成。注册生产企业自行选定注册产品捆重，但要</w:t>
      </w:r>
      <w:proofErr w:type="gramStart"/>
      <w:r w:rsidRPr="00001DC1">
        <w:rPr>
          <w:rFonts w:ascii="仿宋" w:eastAsia="仿宋" w:hAnsi="仿宋" w:cs="宋体" w:hint="eastAsia"/>
          <w:kern w:val="0"/>
          <w:sz w:val="32"/>
          <w:szCs w:val="32"/>
        </w:rPr>
        <w:t>利于组手</w:t>
      </w:r>
      <w:proofErr w:type="gramEnd"/>
      <w:r w:rsidRPr="00001DC1">
        <w:rPr>
          <w:rFonts w:ascii="仿宋" w:eastAsia="仿宋" w:hAnsi="仿宋" w:cs="宋体" w:hint="eastAsia"/>
          <w:kern w:val="0"/>
          <w:sz w:val="32"/>
          <w:szCs w:val="32"/>
        </w:rPr>
        <w:t>，每捆包装采用30-32*0.9-1.0mm表面作防锈处理的钢带捆扎，捆扎应当坚固，同时标有醒目的、不易脱落的产品商品标志、批号</w:t>
      </w:r>
      <w:proofErr w:type="gramStart"/>
      <w:r w:rsidRPr="00001DC1">
        <w:rPr>
          <w:rFonts w:ascii="仿宋" w:eastAsia="仿宋" w:hAnsi="仿宋" w:cs="宋体" w:hint="eastAsia"/>
          <w:kern w:val="0"/>
          <w:sz w:val="32"/>
          <w:szCs w:val="32"/>
        </w:rPr>
        <w:t>及捆重</w:t>
      </w:r>
      <w:proofErr w:type="gramEnd"/>
      <w:r w:rsidRPr="00001DC1">
        <w:rPr>
          <w:rFonts w:ascii="仿宋" w:eastAsia="仿宋" w:hAnsi="仿宋" w:cs="宋体" w:hint="eastAsia"/>
          <w:kern w:val="0"/>
          <w:sz w:val="32"/>
          <w:szCs w:val="32"/>
        </w:rPr>
        <w:t xml:space="preserve">。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（二） 到</w:t>
      </w:r>
      <w:proofErr w:type="gramStart"/>
      <w:r w:rsidRPr="00001DC1">
        <w:rPr>
          <w:rFonts w:ascii="仿宋" w:eastAsia="仿宋" w:hAnsi="仿宋" w:cs="宋体" w:hint="eastAsia"/>
          <w:kern w:val="0"/>
          <w:sz w:val="32"/>
          <w:szCs w:val="32"/>
        </w:rPr>
        <w:t>库商品</w:t>
      </w:r>
      <w:proofErr w:type="gramEnd"/>
      <w:r w:rsidRPr="00001DC1">
        <w:rPr>
          <w:rFonts w:ascii="仿宋" w:eastAsia="仿宋" w:hAnsi="仿宋" w:cs="宋体" w:hint="eastAsia"/>
          <w:kern w:val="0"/>
          <w:sz w:val="32"/>
          <w:szCs w:val="32"/>
        </w:rPr>
        <w:t>中，遇有包装钢带断裂或严重锈蚀的</w:t>
      </w:r>
      <w:proofErr w:type="gramStart"/>
      <w:r w:rsidRPr="00001DC1">
        <w:rPr>
          <w:rFonts w:ascii="仿宋" w:eastAsia="仿宋" w:hAnsi="仿宋" w:cs="宋体" w:hint="eastAsia"/>
          <w:kern w:val="0"/>
          <w:sz w:val="32"/>
          <w:szCs w:val="32"/>
        </w:rPr>
        <w:t>捆件及散块</w:t>
      </w:r>
      <w:proofErr w:type="gramEnd"/>
      <w:r w:rsidRPr="00001DC1">
        <w:rPr>
          <w:rFonts w:ascii="仿宋" w:eastAsia="仿宋" w:hAnsi="仿宋" w:cs="宋体" w:hint="eastAsia"/>
          <w:kern w:val="0"/>
          <w:sz w:val="32"/>
          <w:szCs w:val="32"/>
        </w:rPr>
        <w:t xml:space="preserve">商品，应当重新组合，用规定的钢带捆扎紧固，方可用于交割。包装费用由货主承担。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（三） 国产锌的每锭重量为18-30KG。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第三十六条 交割商品必备单证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（一） 国产商品：应当提供注册生产企业出具的产品质量证明书。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（二） 进口商品：应当提供产品质量证明书、产地证明书、商检证书、海关进口关税专用缴款书、海关代征增值税专用缴款书，经交易所审定合格为有效。 </w:t>
      </w:r>
    </w:p>
    <w:p w:rsidR="00001DC1" w:rsidRPr="00001DC1" w:rsidRDefault="00001DC1" w:rsidP="00001DC1">
      <w:pPr>
        <w:widowControl/>
        <w:adjustRightInd w:val="0"/>
        <w:spacing w:before="100" w:beforeAutospacing="1" w:after="100" w:afterAutospacing="1" w:line="48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国家税收、商检等政策调整的，应当遵守其规定，相关进口商品的单证要求由交易所另行发布。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第三十七条 溢短和磅差：每张标准仓单所列锌锭的重量为25吨，实物溢短不超过±2%，磅差不超过±0.1%。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第三十八条 在交割期内，如当日14:00之前办妥标准仓单、增值税专用发票、货款等交割事宜的，交易所当日即清退其相应的交割部位保证金。如当日14:00之后办妥的，交易所将在下一交易日清退交割部位保证金。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lastRenderedPageBreak/>
        <w:t xml:space="preserve">第三十九条 交收地点：交易所指定交割仓库，见附件二。 </w:t>
      </w:r>
    </w:p>
    <w:p w:rsidR="00001DC1" w:rsidRPr="00001DC1" w:rsidRDefault="00001DC1" w:rsidP="00001DC1">
      <w:pPr>
        <w:widowControl/>
        <w:adjustRightInd w:val="0"/>
        <w:spacing w:before="100" w:beforeAutospacing="1" w:after="100" w:afterAutospacing="1" w:line="520" w:lineRule="exact"/>
        <w:ind w:firstLineChars="200" w:firstLine="480"/>
        <w:jc w:val="left"/>
        <w:rPr>
          <w:rFonts w:ascii="宋体" w:eastAsia="宋体" w:hAnsi="宋体" w:cs="宋体"/>
          <w:kern w:val="0"/>
          <w:sz w:val="24"/>
          <w:szCs w:val="24"/>
        </w:rPr>
      </w:pPr>
      <w:r w:rsidRPr="00001DC1">
        <w:rPr>
          <w:rFonts w:ascii="宋体" w:eastAsia="宋体" w:hAnsi="宋体" w:cs="宋体"/>
          <w:kern w:val="0"/>
          <w:sz w:val="24"/>
          <w:szCs w:val="24"/>
        </w:rPr>
        <w:t> </w:t>
      </w:r>
    </w:p>
    <w:p w:rsidR="00001DC1" w:rsidRPr="00001DC1" w:rsidRDefault="00001DC1" w:rsidP="00001DC1">
      <w:pPr>
        <w:widowControl/>
        <w:tabs>
          <w:tab w:val="left" w:pos="420"/>
          <w:tab w:val="center" w:pos="4153"/>
          <w:tab w:val="right" w:pos="8306"/>
        </w:tabs>
        <w:spacing w:before="100" w:beforeAutospacing="1" w:after="100" w:afterAutospacing="1" w:line="520" w:lineRule="exact"/>
        <w:jc w:val="center"/>
        <w:rPr>
          <w:rFonts w:ascii="宋体" w:eastAsia="宋体" w:hAnsi="宋体" w:cs="宋体"/>
          <w:kern w:val="0"/>
          <w:sz w:val="24"/>
          <w:szCs w:val="24"/>
        </w:rPr>
      </w:pPr>
      <w:r w:rsidRPr="00001DC1">
        <w:rPr>
          <w:rFonts w:ascii="仿宋" w:eastAsia="仿宋" w:hAnsi="仿宋" w:cs="宋体" w:hint="eastAsia"/>
          <w:b/>
          <w:bCs/>
          <w:kern w:val="0"/>
          <w:sz w:val="32"/>
          <w:szCs w:val="32"/>
        </w:rPr>
        <w:t>第七章 铅锭的交割</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第四十条 交割单位：25吨。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第四十一条 交割品级见《上海期货交易所铅期货标准合约》。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第四十二条 交割商品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应当是在本交易所注册的生产厂生产的注册商标的商品。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第四十三条 交割商品的包装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（一）每一交割单位的铅锭必须是同一生产企业生产、同一注册商标、同一质量品级、同一块形、同一包装数量（</w:t>
      </w:r>
      <w:proofErr w:type="gramStart"/>
      <w:r w:rsidRPr="00001DC1">
        <w:rPr>
          <w:rFonts w:ascii="仿宋" w:eastAsia="仿宋" w:hAnsi="仿宋" w:cs="宋体" w:hint="eastAsia"/>
          <w:kern w:val="0"/>
          <w:sz w:val="32"/>
          <w:szCs w:val="32"/>
        </w:rPr>
        <w:t>捆重近似</w:t>
      </w:r>
      <w:proofErr w:type="gramEnd"/>
      <w:r w:rsidRPr="00001DC1">
        <w:rPr>
          <w:rFonts w:ascii="仿宋" w:eastAsia="仿宋" w:hAnsi="仿宋" w:cs="宋体" w:hint="eastAsia"/>
          <w:kern w:val="0"/>
          <w:sz w:val="32"/>
          <w:szCs w:val="32"/>
        </w:rPr>
        <w:t>）的商品组成。注册生产企业自行选定注册产品捆重，但要</w:t>
      </w:r>
      <w:proofErr w:type="gramStart"/>
      <w:r w:rsidRPr="00001DC1">
        <w:rPr>
          <w:rFonts w:ascii="仿宋" w:eastAsia="仿宋" w:hAnsi="仿宋" w:cs="宋体" w:hint="eastAsia"/>
          <w:kern w:val="0"/>
          <w:sz w:val="32"/>
          <w:szCs w:val="32"/>
        </w:rPr>
        <w:t>利于组手</w:t>
      </w:r>
      <w:proofErr w:type="gramEnd"/>
      <w:r w:rsidRPr="00001DC1">
        <w:rPr>
          <w:rFonts w:ascii="仿宋" w:eastAsia="仿宋" w:hAnsi="仿宋" w:cs="宋体" w:hint="eastAsia"/>
          <w:kern w:val="0"/>
          <w:sz w:val="32"/>
          <w:szCs w:val="32"/>
        </w:rPr>
        <w:t xml:space="preserve">，每捆包装应用相应强度且不易锈蚀的包装带捆扎包装，具体要求由交易所另行公告。捆扎应当坚固，同时标有醒目的、不易脱落的产品标识，注明生产厂名称、产品名称、牌号、批号、净重和生产日期。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（二）到</w:t>
      </w:r>
      <w:proofErr w:type="gramStart"/>
      <w:r w:rsidRPr="00001DC1">
        <w:rPr>
          <w:rFonts w:ascii="仿宋" w:eastAsia="仿宋" w:hAnsi="仿宋" w:cs="宋体" w:hint="eastAsia"/>
          <w:kern w:val="0"/>
          <w:sz w:val="32"/>
          <w:szCs w:val="32"/>
        </w:rPr>
        <w:t>库商品</w:t>
      </w:r>
      <w:proofErr w:type="gramEnd"/>
      <w:r w:rsidRPr="00001DC1">
        <w:rPr>
          <w:rFonts w:ascii="仿宋" w:eastAsia="仿宋" w:hAnsi="仿宋" w:cs="宋体" w:hint="eastAsia"/>
          <w:kern w:val="0"/>
          <w:sz w:val="32"/>
          <w:szCs w:val="32"/>
        </w:rPr>
        <w:t>中，遇有包装带断裂的</w:t>
      </w:r>
      <w:proofErr w:type="gramStart"/>
      <w:r w:rsidRPr="00001DC1">
        <w:rPr>
          <w:rFonts w:ascii="仿宋" w:eastAsia="仿宋" w:hAnsi="仿宋" w:cs="宋体" w:hint="eastAsia"/>
          <w:kern w:val="0"/>
          <w:sz w:val="32"/>
          <w:szCs w:val="32"/>
        </w:rPr>
        <w:t>捆件及散块</w:t>
      </w:r>
      <w:proofErr w:type="gramEnd"/>
      <w:r w:rsidRPr="00001DC1">
        <w:rPr>
          <w:rFonts w:ascii="仿宋" w:eastAsia="仿宋" w:hAnsi="仿宋" w:cs="宋体" w:hint="eastAsia"/>
          <w:kern w:val="0"/>
          <w:sz w:val="32"/>
          <w:szCs w:val="32"/>
        </w:rPr>
        <w:t xml:space="preserve">商品，应当重新组合，用规定的包装带捆扎紧固，方可用于交割。包装费用由货主承担。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lastRenderedPageBreak/>
        <w:t xml:space="preserve">（三）国产铅的每锭重量可为48kg±3kg、42kg±2kg、40kg±2kg、24kg±1kg。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第四十四条 交割商品必备单证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（一）国产商品：应当提供注册生产企业出具的产品质量证明书。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（二）进口商品：应当提供产品质量证明书、产地证明书、商检证书、海关进口关税专用缴款书、海关代征增值税专用缴款书，经交易所审定合格为有效。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国家税收、商检等政策调整的，应当遵守其规定，相关进口商品的单证要求由交易所另行发布。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第四十五条 溢短和磅差：每张标准仓单所列铅锭的重量为25吨，实物溢短不超过±2%，磅差不超过±0.1%。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第四十六条 在交割期内，如当日14:00之前办妥标准仓单、增值税专用发票、货款等交割事宜的，交易所当日即清退其相应的交割部位保证金。如当日14:00之后办妥的，交易所将在下一交易日清退交割部位保证金。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第四十七条 交收地点：交易所指定交割仓库（由交易所指定并另行公告）。用于铅期货交割的铅锭必须存放在室内库房。</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宋体" w:eastAsia="宋体" w:hAnsi="宋体" w:cs="宋体" w:hint="eastAsia"/>
          <w:kern w:val="0"/>
          <w:sz w:val="32"/>
          <w:szCs w:val="32"/>
        </w:rPr>
        <w:t> </w:t>
      </w:r>
    </w:p>
    <w:p w:rsidR="00001DC1" w:rsidRPr="00001DC1" w:rsidRDefault="00001DC1" w:rsidP="00001DC1">
      <w:pPr>
        <w:widowControl/>
        <w:tabs>
          <w:tab w:val="left" w:pos="420"/>
          <w:tab w:val="center" w:pos="4153"/>
          <w:tab w:val="right" w:pos="8306"/>
        </w:tabs>
        <w:spacing w:before="100" w:beforeAutospacing="1" w:after="100" w:afterAutospacing="1" w:line="520" w:lineRule="exact"/>
        <w:jc w:val="center"/>
        <w:rPr>
          <w:rFonts w:ascii="宋体" w:eastAsia="宋体" w:hAnsi="宋体" w:cs="宋体"/>
          <w:kern w:val="0"/>
          <w:sz w:val="24"/>
          <w:szCs w:val="24"/>
        </w:rPr>
      </w:pPr>
      <w:r w:rsidRPr="00001DC1">
        <w:rPr>
          <w:rFonts w:ascii="仿宋" w:eastAsia="仿宋" w:hAnsi="仿宋" w:cs="宋体" w:hint="eastAsia"/>
          <w:b/>
          <w:bCs/>
          <w:kern w:val="0"/>
          <w:sz w:val="32"/>
          <w:szCs w:val="32"/>
        </w:rPr>
        <w:t>第八章 电解镍的交割</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lastRenderedPageBreak/>
        <w:t>第四十八条 交割单位：6吨。</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第四十九条 交割品级见《上海期货交易所镍期货标准合约》。</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第五十条 交割商品</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应当是在本交易所注册的生产企业生产的注册品牌商品。</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第五十一条 交割商品的包装</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（一）每一交割单位的电解</w:t>
      </w:r>
      <w:proofErr w:type="gramStart"/>
      <w:r w:rsidRPr="00001DC1">
        <w:rPr>
          <w:rFonts w:ascii="仿宋" w:eastAsia="仿宋" w:hAnsi="仿宋" w:cs="宋体" w:hint="eastAsia"/>
          <w:kern w:val="0"/>
          <w:sz w:val="32"/>
          <w:szCs w:val="32"/>
        </w:rPr>
        <w:t>镍应当</w:t>
      </w:r>
      <w:proofErr w:type="gramEnd"/>
      <w:r w:rsidRPr="00001DC1">
        <w:rPr>
          <w:rFonts w:ascii="仿宋" w:eastAsia="仿宋" w:hAnsi="仿宋" w:cs="宋体" w:hint="eastAsia"/>
          <w:kern w:val="0"/>
          <w:sz w:val="32"/>
          <w:szCs w:val="32"/>
        </w:rPr>
        <w:t>是同一生产企业生产、同一牌号、同一注册品牌、同一质量品级、同一块形、</w:t>
      </w:r>
      <w:proofErr w:type="gramStart"/>
      <w:r w:rsidRPr="00001DC1">
        <w:rPr>
          <w:rFonts w:ascii="仿宋" w:eastAsia="仿宋" w:hAnsi="仿宋" w:cs="宋体" w:hint="eastAsia"/>
          <w:kern w:val="0"/>
          <w:sz w:val="32"/>
          <w:szCs w:val="32"/>
        </w:rPr>
        <w:t>捆重近似</w:t>
      </w:r>
      <w:proofErr w:type="gramEnd"/>
      <w:r w:rsidRPr="00001DC1">
        <w:rPr>
          <w:rFonts w:ascii="仿宋" w:eastAsia="仿宋" w:hAnsi="仿宋" w:cs="宋体" w:hint="eastAsia"/>
          <w:kern w:val="0"/>
          <w:sz w:val="32"/>
          <w:szCs w:val="32"/>
        </w:rPr>
        <w:t>的商品组成。注册生产企业自行选定注册产品捆重，但要</w:t>
      </w:r>
      <w:proofErr w:type="gramStart"/>
      <w:r w:rsidRPr="00001DC1">
        <w:rPr>
          <w:rFonts w:ascii="仿宋" w:eastAsia="仿宋" w:hAnsi="仿宋" w:cs="宋体" w:hint="eastAsia"/>
          <w:kern w:val="0"/>
          <w:sz w:val="32"/>
          <w:szCs w:val="32"/>
        </w:rPr>
        <w:t>利于组手</w:t>
      </w:r>
      <w:proofErr w:type="gramEnd"/>
      <w:r w:rsidRPr="00001DC1">
        <w:rPr>
          <w:rFonts w:ascii="仿宋" w:eastAsia="仿宋" w:hAnsi="仿宋" w:cs="宋体" w:hint="eastAsia"/>
          <w:kern w:val="0"/>
          <w:sz w:val="32"/>
          <w:szCs w:val="32"/>
        </w:rPr>
        <w:t>，每捆包装采用30-32*0.9-1.0mm表面作防锈处理的钢带井字形捆扎（或者坚固程度相当的钢带捆扎方式），捆扎应当坚固，同时标有醒目的、不易脱落的产品标识。</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（二）到</w:t>
      </w:r>
      <w:proofErr w:type="gramStart"/>
      <w:r w:rsidRPr="00001DC1">
        <w:rPr>
          <w:rFonts w:ascii="仿宋" w:eastAsia="仿宋" w:hAnsi="仿宋" w:cs="宋体" w:hint="eastAsia"/>
          <w:kern w:val="0"/>
          <w:sz w:val="32"/>
          <w:szCs w:val="32"/>
        </w:rPr>
        <w:t>库商品</w:t>
      </w:r>
      <w:proofErr w:type="gramEnd"/>
      <w:r w:rsidRPr="00001DC1">
        <w:rPr>
          <w:rFonts w:ascii="仿宋" w:eastAsia="仿宋" w:hAnsi="仿宋" w:cs="宋体" w:hint="eastAsia"/>
          <w:kern w:val="0"/>
          <w:sz w:val="32"/>
          <w:szCs w:val="32"/>
        </w:rPr>
        <w:t>中，遇有包装钢带断裂或严重锈蚀的</w:t>
      </w:r>
      <w:proofErr w:type="gramStart"/>
      <w:r w:rsidRPr="00001DC1">
        <w:rPr>
          <w:rFonts w:ascii="仿宋" w:eastAsia="仿宋" w:hAnsi="仿宋" w:cs="宋体" w:hint="eastAsia"/>
          <w:kern w:val="0"/>
          <w:sz w:val="32"/>
          <w:szCs w:val="32"/>
        </w:rPr>
        <w:t>捆件及散块</w:t>
      </w:r>
      <w:proofErr w:type="gramEnd"/>
      <w:r w:rsidRPr="00001DC1">
        <w:rPr>
          <w:rFonts w:ascii="仿宋" w:eastAsia="仿宋" w:hAnsi="仿宋" w:cs="宋体" w:hint="eastAsia"/>
          <w:kern w:val="0"/>
          <w:sz w:val="32"/>
          <w:szCs w:val="32"/>
        </w:rPr>
        <w:t>商品，应当重新组合，用规定的钢带捆扎紧固，方可用于交割。包装费用由货主承担。</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第五十二条 交割商品必备单证</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（一）国产商品：应当提供注册生产企业出具的产品质量证明书。</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lastRenderedPageBreak/>
        <w:t>（二）进口商品：应当提供产品质量证明书、产地证明书、商检证书、海关进口关税专用缴款书、海关代征增值税专用缴款书，经本交易所审定合格为有效。</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国家税收、商检等政策调整的，应当遵守其规定，相关进口商品的单证要求由交易所另行发布。</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第五十三条 溢短和磅差：每张标准仓单所列电解镍的重量为6吨，实物溢短不超过±3%，磅差不超过±0.1%。</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第五十四条 在交割期内，如当日14:00之前办妥标准仓单、增值税专用发票、货款等交割事宜的，交易所当日即清退其相应的交割部位保证金。如当日14:00之后办妥的，交易所将在下一交易日清退交割部位保证金。</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第五十五条 交收地点：交易所指定交割仓库（由交易所指定并另行公告）。用于镍期货交割的电解</w:t>
      </w:r>
      <w:proofErr w:type="gramStart"/>
      <w:r w:rsidRPr="00001DC1">
        <w:rPr>
          <w:rFonts w:ascii="仿宋" w:eastAsia="仿宋" w:hAnsi="仿宋" w:cs="宋体" w:hint="eastAsia"/>
          <w:kern w:val="0"/>
          <w:sz w:val="32"/>
          <w:szCs w:val="32"/>
        </w:rPr>
        <w:t>镍应当</w:t>
      </w:r>
      <w:proofErr w:type="gramEnd"/>
      <w:r w:rsidRPr="00001DC1">
        <w:rPr>
          <w:rFonts w:ascii="仿宋" w:eastAsia="仿宋" w:hAnsi="仿宋" w:cs="宋体" w:hint="eastAsia"/>
          <w:kern w:val="0"/>
          <w:sz w:val="32"/>
          <w:szCs w:val="32"/>
        </w:rPr>
        <w:t>存放在室内库房。</w:t>
      </w:r>
    </w:p>
    <w:p w:rsidR="00001DC1" w:rsidRPr="00001DC1" w:rsidRDefault="00001DC1" w:rsidP="00001DC1">
      <w:pPr>
        <w:widowControl/>
        <w:adjustRightInd w:val="0"/>
        <w:spacing w:before="100" w:beforeAutospacing="1" w:after="100" w:afterAutospacing="1" w:line="520" w:lineRule="exact"/>
        <w:ind w:firstLineChars="200" w:firstLine="480"/>
        <w:jc w:val="left"/>
        <w:rPr>
          <w:rFonts w:ascii="宋体" w:eastAsia="宋体" w:hAnsi="宋体" w:cs="宋体"/>
          <w:kern w:val="0"/>
          <w:sz w:val="24"/>
          <w:szCs w:val="24"/>
        </w:rPr>
      </w:pPr>
      <w:r w:rsidRPr="00001DC1">
        <w:rPr>
          <w:rFonts w:ascii="宋体" w:eastAsia="宋体" w:hAnsi="宋体" w:cs="宋体"/>
          <w:kern w:val="0"/>
          <w:sz w:val="24"/>
          <w:szCs w:val="24"/>
        </w:rPr>
        <w:t> </w:t>
      </w:r>
    </w:p>
    <w:p w:rsidR="00001DC1" w:rsidRPr="00001DC1" w:rsidRDefault="00001DC1" w:rsidP="00001DC1">
      <w:pPr>
        <w:widowControl/>
        <w:tabs>
          <w:tab w:val="left" w:pos="420"/>
          <w:tab w:val="center" w:pos="4153"/>
          <w:tab w:val="right" w:pos="8306"/>
        </w:tabs>
        <w:spacing w:before="100" w:beforeAutospacing="1" w:after="100" w:afterAutospacing="1" w:line="520" w:lineRule="exact"/>
        <w:jc w:val="center"/>
        <w:rPr>
          <w:rFonts w:ascii="宋体" w:eastAsia="宋体" w:hAnsi="宋体" w:cs="宋体"/>
          <w:kern w:val="0"/>
          <w:sz w:val="24"/>
          <w:szCs w:val="24"/>
        </w:rPr>
      </w:pPr>
      <w:r w:rsidRPr="00001DC1">
        <w:rPr>
          <w:rFonts w:ascii="仿宋" w:eastAsia="仿宋" w:hAnsi="仿宋" w:cs="宋体" w:hint="eastAsia"/>
          <w:b/>
          <w:bCs/>
          <w:kern w:val="0"/>
          <w:sz w:val="32"/>
          <w:szCs w:val="32"/>
        </w:rPr>
        <w:t>第九章</w:t>
      </w:r>
      <w:r w:rsidRPr="00001DC1">
        <w:rPr>
          <w:rFonts w:ascii="宋体" w:eastAsia="宋体" w:hAnsi="宋体" w:cs="宋体" w:hint="eastAsia"/>
          <w:b/>
          <w:bCs/>
          <w:kern w:val="0"/>
          <w:sz w:val="32"/>
          <w:szCs w:val="32"/>
        </w:rPr>
        <w:t> </w:t>
      </w:r>
      <w:r w:rsidRPr="00001DC1">
        <w:rPr>
          <w:rFonts w:ascii="仿宋" w:eastAsia="仿宋" w:hAnsi="仿宋" w:cs="仿宋" w:hint="eastAsia"/>
          <w:b/>
          <w:bCs/>
          <w:kern w:val="0"/>
          <w:sz w:val="32"/>
          <w:szCs w:val="32"/>
        </w:rPr>
        <w:t xml:space="preserve"> </w:t>
      </w:r>
      <w:r w:rsidRPr="00001DC1">
        <w:rPr>
          <w:rFonts w:ascii="仿宋" w:eastAsia="仿宋" w:hAnsi="仿宋" w:cs="宋体" w:hint="eastAsia"/>
          <w:b/>
          <w:bCs/>
          <w:kern w:val="0"/>
          <w:sz w:val="32"/>
          <w:szCs w:val="32"/>
        </w:rPr>
        <w:t>锡锭的交割</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第五十六条 交割单位：2吨。</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第五十七条 交割品级见《上海期货交易所锡期货标准合约》。</w:t>
      </w:r>
    </w:p>
    <w:p w:rsidR="00001DC1" w:rsidRPr="00001DC1" w:rsidRDefault="00001DC1" w:rsidP="00001DC1">
      <w:pPr>
        <w:widowControl/>
        <w:adjustRightInd w:val="0"/>
        <w:spacing w:before="100" w:beforeAutospacing="1" w:after="100" w:afterAutospacing="1" w:line="48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第五十八条 交割商品</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lastRenderedPageBreak/>
        <w:t>应当是在本交易所注册的生产企业生产的注册品牌商品。</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第五十九条 交割商品的包装</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（一）每一交割单位的锡锭应当是同一生产企业生产、同一牌号和级别、同一注册品牌、同一质量品级、同一块形、同一包装数量（</w:t>
      </w:r>
      <w:proofErr w:type="gramStart"/>
      <w:r w:rsidRPr="00001DC1">
        <w:rPr>
          <w:rFonts w:ascii="仿宋" w:eastAsia="仿宋" w:hAnsi="仿宋" w:cs="宋体" w:hint="eastAsia"/>
          <w:kern w:val="0"/>
          <w:sz w:val="32"/>
          <w:szCs w:val="32"/>
        </w:rPr>
        <w:t>捆重近似</w:t>
      </w:r>
      <w:proofErr w:type="gramEnd"/>
      <w:r w:rsidRPr="00001DC1">
        <w:rPr>
          <w:rFonts w:ascii="仿宋" w:eastAsia="仿宋" w:hAnsi="仿宋" w:cs="宋体" w:hint="eastAsia"/>
          <w:kern w:val="0"/>
          <w:sz w:val="32"/>
          <w:szCs w:val="32"/>
        </w:rPr>
        <w:t>）的商品组成。注册生产企业自行选定注册产品捆重，但要</w:t>
      </w:r>
      <w:proofErr w:type="gramStart"/>
      <w:r w:rsidRPr="00001DC1">
        <w:rPr>
          <w:rFonts w:ascii="仿宋" w:eastAsia="仿宋" w:hAnsi="仿宋" w:cs="宋体" w:hint="eastAsia"/>
          <w:kern w:val="0"/>
          <w:sz w:val="32"/>
          <w:szCs w:val="32"/>
        </w:rPr>
        <w:t>利于组手</w:t>
      </w:r>
      <w:proofErr w:type="gramEnd"/>
      <w:r w:rsidRPr="00001DC1">
        <w:rPr>
          <w:rFonts w:ascii="仿宋" w:eastAsia="仿宋" w:hAnsi="仿宋" w:cs="宋体" w:hint="eastAsia"/>
          <w:kern w:val="0"/>
          <w:sz w:val="32"/>
          <w:szCs w:val="32"/>
        </w:rPr>
        <w:t>，每捆包装采用表面作防锈处理的钢带捆扎（或者坚固程度相当的</w:t>
      </w:r>
      <w:proofErr w:type="gramStart"/>
      <w:r w:rsidRPr="00001DC1">
        <w:rPr>
          <w:rFonts w:ascii="仿宋" w:eastAsia="仿宋" w:hAnsi="仿宋" w:cs="宋体" w:hint="eastAsia"/>
          <w:kern w:val="0"/>
          <w:sz w:val="32"/>
          <w:szCs w:val="32"/>
        </w:rPr>
        <w:t>塑钢带</w:t>
      </w:r>
      <w:proofErr w:type="gramEnd"/>
      <w:r w:rsidRPr="00001DC1">
        <w:rPr>
          <w:rFonts w:ascii="仿宋" w:eastAsia="仿宋" w:hAnsi="仿宋" w:cs="宋体" w:hint="eastAsia"/>
          <w:kern w:val="0"/>
          <w:sz w:val="32"/>
          <w:szCs w:val="32"/>
        </w:rPr>
        <w:t>捆扎方式），捆扎应当坚固，同时标有醒目的、不易脱落的产品标识。</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（二）到</w:t>
      </w:r>
      <w:proofErr w:type="gramStart"/>
      <w:r w:rsidRPr="00001DC1">
        <w:rPr>
          <w:rFonts w:ascii="仿宋" w:eastAsia="仿宋" w:hAnsi="仿宋" w:cs="宋体" w:hint="eastAsia"/>
          <w:kern w:val="0"/>
          <w:sz w:val="32"/>
          <w:szCs w:val="32"/>
        </w:rPr>
        <w:t>库商品</w:t>
      </w:r>
      <w:proofErr w:type="gramEnd"/>
      <w:r w:rsidRPr="00001DC1">
        <w:rPr>
          <w:rFonts w:ascii="仿宋" w:eastAsia="仿宋" w:hAnsi="仿宋" w:cs="宋体" w:hint="eastAsia"/>
          <w:kern w:val="0"/>
          <w:sz w:val="32"/>
          <w:szCs w:val="32"/>
        </w:rPr>
        <w:t>中，遇有包装钢带断裂或严重锈蚀的</w:t>
      </w:r>
      <w:proofErr w:type="gramStart"/>
      <w:r w:rsidRPr="00001DC1">
        <w:rPr>
          <w:rFonts w:ascii="仿宋" w:eastAsia="仿宋" w:hAnsi="仿宋" w:cs="宋体" w:hint="eastAsia"/>
          <w:kern w:val="0"/>
          <w:sz w:val="32"/>
          <w:szCs w:val="32"/>
        </w:rPr>
        <w:t>捆件及散块</w:t>
      </w:r>
      <w:proofErr w:type="gramEnd"/>
      <w:r w:rsidRPr="00001DC1">
        <w:rPr>
          <w:rFonts w:ascii="仿宋" w:eastAsia="仿宋" w:hAnsi="仿宋" w:cs="宋体" w:hint="eastAsia"/>
          <w:kern w:val="0"/>
          <w:sz w:val="32"/>
          <w:szCs w:val="32"/>
        </w:rPr>
        <w:t>商品，应当重新组合，用规定的钢带捆扎紧固，方可用于交割。包装费用由货主承担。</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（三）国产锡的每锭重量为25kg±1.5kg。</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第六十条 交割商品必备单证</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（一）国产商品：应当提供注册生产企业出具的产品质量证明书。</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（二）进口商品：应当提供产品质量证明书、产地证明书、商检证书、海关进口关税专用缴款书、海关代征增值税专用缴款书，经本交易所审定合格为有效。</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国家税收、商检等政策调整的，应当遵守其规定，相关进口商品的单证要求由交易所另行发布。</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lastRenderedPageBreak/>
        <w:t>第六十一条 溢短和磅差：每张标准仓单所列锡锭的重量为2吨，实物溢短不超过±3%，磅差不超过±0.1%。</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第六十二条 在交割期内，如当日14:00之前办妥标准仓单、增值税专用发票、货款等交割事宜的，交易所当日即清退其相应的交割部位保证金。如当日14:00之后办妥的，交易所将在下一交易日清退交割部位保证金。</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第六十三条 交收地点：交易所指定交割仓库（由交易所指定并另行公告）。用于锡期货交割的锡锭应当存放在室内库房。</w:t>
      </w:r>
    </w:p>
    <w:p w:rsidR="00001DC1" w:rsidRPr="00001DC1" w:rsidRDefault="00001DC1" w:rsidP="00001DC1">
      <w:pPr>
        <w:widowControl/>
        <w:adjustRightInd w:val="0"/>
        <w:spacing w:before="100" w:beforeAutospacing="1" w:after="100" w:afterAutospacing="1" w:line="520" w:lineRule="exact"/>
        <w:ind w:firstLineChars="200" w:firstLine="643"/>
        <w:jc w:val="left"/>
        <w:rPr>
          <w:rFonts w:ascii="宋体" w:eastAsia="宋体" w:hAnsi="宋体" w:cs="宋体"/>
          <w:kern w:val="0"/>
          <w:sz w:val="24"/>
          <w:szCs w:val="24"/>
        </w:rPr>
      </w:pPr>
      <w:r w:rsidRPr="00001DC1">
        <w:rPr>
          <w:rFonts w:ascii="宋体" w:eastAsia="宋体" w:hAnsi="宋体" w:cs="宋体" w:hint="eastAsia"/>
          <w:b/>
          <w:bCs/>
          <w:kern w:val="0"/>
          <w:sz w:val="32"/>
          <w:szCs w:val="32"/>
          <w:shd w:val="clear" w:color="auto" w:fill="BFBFBF"/>
        </w:rPr>
        <w:t> </w:t>
      </w:r>
    </w:p>
    <w:p w:rsidR="00001DC1" w:rsidRPr="00001DC1" w:rsidRDefault="00001DC1" w:rsidP="00001DC1">
      <w:pPr>
        <w:widowControl/>
        <w:tabs>
          <w:tab w:val="left" w:pos="420"/>
          <w:tab w:val="center" w:pos="4153"/>
          <w:tab w:val="right" w:pos="8306"/>
        </w:tabs>
        <w:spacing w:before="100" w:beforeAutospacing="1" w:after="100" w:afterAutospacing="1" w:line="520" w:lineRule="exact"/>
        <w:jc w:val="center"/>
        <w:rPr>
          <w:rFonts w:ascii="宋体" w:eastAsia="宋体" w:hAnsi="宋体" w:cs="宋体"/>
          <w:kern w:val="0"/>
          <w:sz w:val="24"/>
          <w:szCs w:val="24"/>
        </w:rPr>
      </w:pPr>
      <w:r w:rsidRPr="00001DC1">
        <w:rPr>
          <w:rFonts w:ascii="仿宋" w:eastAsia="仿宋" w:hAnsi="仿宋" w:cs="宋体" w:hint="eastAsia"/>
          <w:b/>
          <w:bCs/>
          <w:kern w:val="0"/>
          <w:sz w:val="32"/>
          <w:szCs w:val="32"/>
        </w:rPr>
        <w:t>第十章 螺纹钢的交割</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第六十四条 交割单位：300吨。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第六十五条 交割品级见《上海期货交易所螺纹钢期货标准合约》。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第六十六条 交割螺纹钢质量规定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交割螺纹钢应当是在交易所注册的生产厂生产的注册商品。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交割螺纹钢的外形、尺寸、重量及允许偏差应当符合国标GB1499.2-2007《钢筋混凝土用钢 第2部分：热轧带肋钢筋》的规定。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lastRenderedPageBreak/>
        <w:t xml:space="preserve">交割螺纹钢的每批商品的有效期限为生产日起的90天内，并且应在生产日起的30天内入指定交割仓库方可制作仓单。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在指定交割仓库交割的螺纹钢其长度为9米和12米定尺。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第六十七条 交割螺纹钢的包装与堆放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交割螺纹钢包装、标志及质量证明书等应当符合GB1499.2-2007 《钢筋混凝土用钢 第2部分：热轧带肋钢筋》。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每一仓单的螺纹钢，应当是同一生产企业生产、同一牌号、同一注册商标、同一公称直径、同一长度的商品组成，并且组成每一仓单的螺纹钢的生产日期应当不超过连续十日，且以最早日期作为该仓单的生产日期。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用于交割的螺纹钢每一仓单的标的实物应当作为一个堆放垛位进行堆放。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第六十八条 交割商品必备单证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应当提供注册生产企业出具的产品质量证明书。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第六十九条 计量和</w:t>
      </w:r>
      <w:proofErr w:type="gramStart"/>
      <w:r w:rsidRPr="00001DC1">
        <w:rPr>
          <w:rFonts w:ascii="仿宋" w:eastAsia="仿宋" w:hAnsi="仿宋" w:cs="宋体" w:hint="eastAsia"/>
          <w:kern w:val="0"/>
          <w:sz w:val="32"/>
          <w:szCs w:val="32"/>
        </w:rPr>
        <w:t>溢短</w:t>
      </w:r>
      <w:proofErr w:type="gramEnd"/>
      <w:r w:rsidRPr="00001DC1">
        <w:rPr>
          <w:rFonts w:ascii="仿宋" w:eastAsia="仿宋" w:hAnsi="仿宋" w:cs="宋体" w:hint="eastAsia"/>
          <w:kern w:val="0"/>
          <w:sz w:val="32"/>
          <w:szCs w:val="32"/>
        </w:rPr>
        <w:t xml:space="preserve">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交割螺纹钢以实际称重方式计量。每张螺纹钢标准仓单的实物溢短不超过±3%，磅差不超过±0.3%。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lastRenderedPageBreak/>
        <w:t xml:space="preserve">第七十条 在交割期内，如当日14:00之前办妥标准仓单、增值税专用发票、货款等交割事宜的，交易所当日即清退其相应的交割部位保证金。如当日14:00之后办妥的，交易所将在下一交易日清退交割部位保证金。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第七十一条 交收地点：交易所指定交割仓库和厂库（由交易所指定并另行公告）。</w:t>
      </w:r>
    </w:p>
    <w:p w:rsidR="00001DC1" w:rsidRPr="00001DC1" w:rsidRDefault="00001DC1" w:rsidP="00001DC1">
      <w:pPr>
        <w:widowControl/>
        <w:tabs>
          <w:tab w:val="left" w:pos="420"/>
          <w:tab w:val="center" w:pos="4153"/>
          <w:tab w:val="right" w:pos="8306"/>
        </w:tabs>
        <w:spacing w:before="100" w:beforeAutospacing="1" w:after="100" w:afterAutospacing="1" w:line="520" w:lineRule="exact"/>
        <w:jc w:val="center"/>
        <w:rPr>
          <w:rFonts w:ascii="宋体" w:eastAsia="宋体" w:hAnsi="宋体" w:cs="宋体"/>
          <w:kern w:val="0"/>
          <w:sz w:val="24"/>
          <w:szCs w:val="24"/>
        </w:rPr>
      </w:pPr>
      <w:r w:rsidRPr="00001DC1">
        <w:rPr>
          <w:rFonts w:ascii="仿宋" w:eastAsia="仿宋" w:hAnsi="仿宋" w:cs="宋体" w:hint="eastAsia"/>
          <w:b/>
          <w:bCs/>
          <w:kern w:val="0"/>
          <w:sz w:val="32"/>
          <w:szCs w:val="32"/>
        </w:rPr>
        <w:t>第十一章 线材的交割</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第七十二条 交割单位：300吨。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第七十三条 交割品级见《上海期货交易所线材期货标准合约》。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第七十四条 交割线材质量规定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交割线材应当是在交易所注册的生产厂生产的</w:t>
      </w:r>
      <w:proofErr w:type="gramStart"/>
      <w:r w:rsidRPr="00001DC1">
        <w:rPr>
          <w:rFonts w:ascii="仿宋" w:eastAsia="仿宋" w:hAnsi="仿宋" w:cs="宋体" w:hint="eastAsia"/>
          <w:kern w:val="0"/>
          <w:sz w:val="32"/>
          <w:szCs w:val="32"/>
        </w:rPr>
        <w:t>的</w:t>
      </w:r>
      <w:proofErr w:type="gramEnd"/>
      <w:r w:rsidRPr="00001DC1">
        <w:rPr>
          <w:rFonts w:ascii="仿宋" w:eastAsia="仿宋" w:hAnsi="仿宋" w:cs="宋体" w:hint="eastAsia"/>
          <w:kern w:val="0"/>
          <w:sz w:val="32"/>
          <w:szCs w:val="32"/>
        </w:rPr>
        <w:t xml:space="preserve">注册商品。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交割线材的外形、尺寸、重量及允许偏差应当符合国标GB1499.1-2008《钢筋混凝土用钢 第1部分：热轧光圆钢筋》的规定。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交割线材的每批商品的有效期限为生产日起的90天内，并且应在生产日起的30天内入指定交割仓库方可制作仓单。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第七十五条 交割线材的包装与堆放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lastRenderedPageBreak/>
        <w:t xml:space="preserve">线材应盘卷交货，包装、标志及质量证明书应当符合国标GB1499.1-2008《钢筋混凝土用钢 第1部分：热轧光圆钢筋》的规定。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每一仓单的线材，应当是同一生产企业生产、同一牌号、同一注册商标、同一公称直径的商品组成，并且组成每一仓单的线材的生产日期应当不超过连续两日，且以最早日期作为该仓单的生产日期。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用于交割的线材每一仓单的标的实物应当作为一个堆放垛位进行堆放。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第七十六条 交割商品必备单证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应当提供注册生产企业出具的产品质量证明书。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第七十七条 溢短和磅差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交割线材以实际称重方式计量。每张线材标准仓单的实物溢短不超过±3%，磅差不超过±0.3%。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第七十八条 在交割期内，如当日14:00之前办妥标准仓单、增值税专用发票、货款等交割事宜的，交易所当日即清退其相应的交割部位保证金。如当日14:00之后办妥的，交易所将在下一交易日清退交割部位保证金。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第七十九条 交收地点：交易所指定交割仓库和厂库（由交易所指定并另行公告）。 </w:t>
      </w:r>
    </w:p>
    <w:p w:rsidR="00001DC1" w:rsidRPr="00001DC1" w:rsidRDefault="00001DC1" w:rsidP="00001DC1">
      <w:pPr>
        <w:widowControl/>
        <w:adjustRightInd w:val="0"/>
        <w:spacing w:before="100" w:beforeAutospacing="1" w:after="100" w:afterAutospacing="1" w:line="520" w:lineRule="exact"/>
        <w:ind w:firstLineChars="200" w:firstLine="480"/>
        <w:jc w:val="left"/>
        <w:rPr>
          <w:rFonts w:ascii="宋体" w:eastAsia="宋体" w:hAnsi="宋体" w:cs="宋体"/>
          <w:kern w:val="0"/>
          <w:sz w:val="24"/>
          <w:szCs w:val="24"/>
        </w:rPr>
      </w:pPr>
      <w:r w:rsidRPr="00001DC1">
        <w:rPr>
          <w:rFonts w:ascii="宋体" w:eastAsia="宋体" w:hAnsi="宋体" w:cs="宋体"/>
          <w:kern w:val="0"/>
          <w:sz w:val="24"/>
          <w:szCs w:val="24"/>
        </w:rPr>
        <w:t> </w:t>
      </w:r>
    </w:p>
    <w:p w:rsidR="00001DC1" w:rsidRPr="00001DC1" w:rsidRDefault="00001DC1" w:rsidP="00001DC1">
      <w:pPr>
        <w:widowControl/>
        <w:tabs>
          <w:tab w:val="left" w:pos="420"/>
          <w:tab w:val="center" w:pos="4153"/>
          <w:tab w:val="right" w:pos="8306"/>
        </w:tabs>
        <w:spacing w:before="100" w:beforeAutospacing="1" w:after="100" w:afterAutospacing="1" w:line="520" w:lineRule="exact"/>
        <w:jc w:val="center"/>
        <w:rPr>
          <w:rFonts w:ascii="宋体" w:eastAsia="宋体" w:hAnsi="宋体" w:cs="宋体"/>
          <w:kern w:val="0"/>
          <w:sz w:val="24"/>
          <w:szCs w:val="24"/>
        </w:rPr>
      </w:pPr>
      <w:r w:rsidRPr="00001DC1">
        <w:rPr>
          <w:rFonts w:ascii="仿宋" w:eastAsia="仿宋" w:hAnsi="仿宋" w:cs="宋体" w:hint="eastAsia"/>
          <w:b/>
          <w:bCs/>
          <w:kern w:val="0"/>
          <w:sz w:val="32"/>
          <w:szCs w:val="32"/>
        </w:rPr>
        <w:lastRenderedPageBreak/>
        <w:t>第十二章 热轧卷板的交割</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第八十条 交割单位：300吨。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第八十一条 交割品级见《上海期货交易所热轧卷板期货标准合约》。</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第八十二条 交割热轧卷板质量规定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交割热轧卷板应当是在交易所注册的生产厂生产的注册商品。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交割热轧卷板的外形、尺寸、重量及允许偏差应当符合GB/T3274-2007《碳素结构钢和低合金结构钢热轧厚钢板和钢带》或JIS G 3101-2010《一般结构用轧制钢材》等相关规定。</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交割热轧卷板的每批商品的有效期限为生产日起的360天内，每一仓单的热轧卷板以其中最早的生产日期作为该仓单的生产日期。</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第八十三条 交割商品的规格</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每一仓单的热轧卷板，应当是同一生产厂家、同一牌号和宽度、厚度的商品组成。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第八十四条 交割热轧卷板的包装与堆放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交割热轧卷板包装、标志及质量证明书等应当符合GB/T 3274-2007《碳素结构钢和低合金结构钢热轧厚钢板和钢带》或JIS G 3101-2010《一般结构用轧制钢材》等相关规定。</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lastRenderedPageBreak/>
        <w:t>用于交割的热轧卷板每一仓单的标的实物应当作为一个堆放垛位进行堆放。</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第八十五条 交割商品必备单证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应当提供注册生产企业出具的产品质量证明书。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第八十六条 计量和</w:t>
      </w:r>
      <w:proofErr w:type="gramStart"/>
      <w:r w:rsidRPr="00001DC1">
        <w:rPr>
          <w:rFonts w:ascii="仿宋" w:eastAsia="仿宋" w:hAnsi="仿宋" w:cs="宋体" w:hint="eastAsia"/>
          <w:kern w:val="0"/>
          <w:sz w:val="32"/>
          <w:szCs w:val="32"/>
        </w:rPr>
        <w:t>溢短</w:t>
      </w:r>
      <w:proofErr w:type="gramEnd"/>
      <w:r w:rsidRPr="00001DC1">
        <w:rPr>
          <w:rFonts w:ascii="仿宋" w:eastAsia="仿宋" w:hAnsi="仿宋" w:cs="宋体" w:hint="eastAsia"/>
          <w:kern w:val="0"/>
          <w:sz w:val="32"/>
          <w:szCs w:val="32"/>
        </w:rPr>
        <w:t xml:space="preserve">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交割热轧卷板以实际称重方式计量。每张热轧卷板标准仓单的实物溢短不超过±5%。磅差不超过±0.3%。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第八十七条 在交割期内，如当日14:00之前办妥标准仓单、增值税专用发票、货款等交割事宜的，交易所当日即清退其相应的交割部位保证金。如当日14:00之后办妥的，交易所将在下一交易日清退交割部位保证金。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第八十八条 交收地点：交易所指定交割仓库（由交易所指定并另行公告）。</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宋体" w:eastAsia="宋体" w:hAnsi="宋体" w:cs="宋体" w:hint="eastAsia"/>
          <w:kern w:val="0"/>
          <w:sz w:val="32"/>
          <w:szCs w:val="32"/>
        </w:rPr>
        <w:t> </w:t>
      </w:r>
    </w:p>
    <w:p w:rsidR="00001DC1" w:rsidRPr="00001DC1" w:rsidRDefault="00001DC1" w:rsidP="00001DC1">
      <w:pPr>
        <w:widowControl/>
        <w:tabs>
          <w:tab w:val="left" w:pos="420"/>
          <w:tab w:val="center" w:pos="4153"/>
          <w:tab w:val="right" w:pos="8306"/>
        </w:tabs>
        <w:spacing w:before="100" w:beforeAutospacing="1" w:after="100" w:afterAutospacing="1" w:line="520" w:lineRule="exact"/>
        <w:jc w:val="center"/>
        <w:rPr>
          <w:rFonts w:ascii="宋体" w:eastAsia="宋体" w:hAnsi="宋体" w:cs="宋体"/>
          <w:kern w:val="0"/>
          <w:sz w:val="24"/>
          <w:szCs w:val="24"/>
        </w:rPr>
      </w:pPr>
      <w:r w:rsidRPr="00001DC1">
        <w:rPr>
          <w:rFonts w:ascii="仿宋" w:eastAsia="仿宋" w:hAnsi="仿宋" w:cs="宋体" w:hint="eastAsia"/>
          <w:b/>
          <w:bCs/>
          <w:kern w:val="0"/>
          <w:sz w:val="32"/>
          <w:szCs w:val="32"/>
        </w:rPr>
        <w:t>第十三章 天然橡胶的交割</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第八十九条 交割单位：实物交割以每手或其整数</w:t>
      </w:r>
      <w:proofErr w:type="gramStart"/>
      <w:r w:rsidRPr="00001DC1">
        <w:rPr>
          <w:rFonts w:ascii="仿宋" w:eastAsia="仿宋" w:hAnsi="仿宋" w:cs="宋体" w:hint="eastAsia"/>
          <w:kern w:val="0"/>
          <w:sz w:val="32"/>
          <w:szCs w:val="32"/>
        </w:rPr>
        <w:t>倍</w:t>
      </w:r>
      <w:proofErr w:type="gramEnd"/>
      <w:r w:rsidRPr="00001DC1">
        <w:rPr>
          <w:rFonts w:ascii="仿宋" w:eastAsia="仿宋" w:hAnsi="仿宋" w:cs="宋体" w:hint="eastAsia"/>
          <w:kern w:val="0"/>
          <w:sz w:val="32"/>
          <w:szCs w:val="32"/>
        </w:rPr>
        <w:t xml:space="preserve">交割。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第九十条 交割品级见《上海期货交易所天然橡胶标准合约》。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lastRenderedPageBreak/>
        <w:t xml:space="preserve">第九十一条 国产天然橡胶的注册品牌由交易所另行发布。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第九十二条 包装：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（一）国产天然橡胶（SCR WF）的外包装应当用聚乙烯薄膜和聚丙烯编织袋双层包装，每包净含量33.3kg，每吨30包，无溢短。</w:t>
      </w:r>
      <w:proofErr w:type="gramStart"/>
      <w:r w:rsidRPr="00001DC1">
        <w:rPr>
          <w:rFonts w:ascii="仿宋" w:eastAsia="仿宋" w:hAnsi="仿宋" w:cs="宋体" w:hint="eastAsia"/>
          <w:kern w:val="0"/>
          <w:sz w:val="32"/>
          <w:szCs w:val="32"/>
        </w:rPr>
        <w:t>胶包尺寸</w:t>
      </w:r>
      <w:proofErr w:type="gramEnd"/>
      <w:r w:rsidRPr="00001DC1">
        <w:rPr>
          <w:rFonts w:ascii="仿宋" w:eastAsia="仿宋" w:hAnsi="仿宋" w:cs="宋体" w:hint="eastAsia"/>
          <w:kern w:val="0"/>
          <w:sz w:val="32"/>
          <w:szCs w:val="32"/>
        </w:rPr>
        <w:t xml:space="preserve">为670×330×200mm，胶包外应标志注明：标准橡胶级别代号、净重、生产厂名或厂代号、生产日期和生产许可证编号等内容。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（二）进口３号烟胶片为胶片</w:t>
      </w:r>
      <w:proofErr w:type="gramStart"/>
      <w:r w:rsidRPr="00001DC1">
        <w:rPr>
          <w:rFonts w:ascii="仿宋" w:eastAsia="仿宋" w:hAnsi="仿宋" w:cs="宋体" w:hint="eastAsia"/>
          <w:kern w:val="0"/>
          <w:sz w:val="32"/>
          <w:szCs w:val="32"/>
        </w:rPr>
        <w:t>复盖</w:t>
      </w:r>
      <w:proofErr w:type="gramEnd"/>
      <w:r w:rsidRPr="00001DC1">
        <w:rPr>
          <w:rFonts w:ascii="仿宋" w:eastAsia="仿宋" w:hAnsi="仿宋" w:cs="宋体" w:hint="eastAsia"/>
          <w:kern w:val="0"/>
          <w:sz w:val="32"/>
          <w:szCs w:val="32"/>
        </w:rPr>
        <w:t>的胶包，每个交货批次</w:t>
      </w:r>
      <w:proofErr w:type="gramStart"/>
      <w:r w:rsidRPr="00001DC1">
        <w:rPr>
          <w:rFonts w:ascii="仿宋" w:eastAsia="仿宋" w:hAnsi="仿宋" w:cs="宋体" w:hint="eastAsia"/>
          <w:kern w:val="0"/>
          <w:sz w:val="32"/>
          <w:szCs w:val="32"/>
        </w:rPr>
        <w:t>的胶包重量</w:t>
      </w:r>
      <w:proofErr w:type="gramEnd"/>
      <w:r w:rsidRPr="00001DC1">
        <w:rPr>
          <w:rFonts w:ascii="仿宋" w:eastAsia="仿宋" w:hAnsi="仿宋" w:cs="宋体" w:hint="eastAsia"/>
          <w:kern w:val="0"/>
          <w:sz w:val="32"/>
          <w:szCs w:val="32"/>
        </w:rPr>
        <w:t xml:space="preserve">应当一致，标准件重为111.11kg，每吨９包，无溢短。非标准件重可以按实计量，允许有±0.2%的磅差和±3%的溢短。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第九十三条 交割商品必备单证：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（一）国产天然橡胶（SCR WF）在实物交割时应当提供与实物一致的交易所指定的国家法定检验机构（附件一）出具的质检证（或检测/鉴定报告）原件。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（二）进口３号烟胶片在实物交割时应当提供进口货物报关单、商检证书正本或副本原件、外贸合同、海关进口关税专用缴款书、海关代征增值税专用缴款书的复印件。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（三）检验方法为抽样检验，抽样地点应当入库完毕后在指定交割仓库内，严禁在车站、码头等运输途中抽样。检验批量以100吨以下（包括100吨）为一个检验批次，超过100吨应当分若干批次检验。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lastRenderedPageBreak/>
        <w:t xml:space="preserve">国家税收、商检等政策调整的，应当遵守其规定，相关进口商品的单证要求由交易所另行发布。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第九十四条 有效期：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（一）国产天然橡胶（SCR WF）在库交割的有效期限为生产年份的第二年的最后一个交割月份，超过期限的转作现货。当年生产的国产天然橡胶如要用于实物交割，最迟应当在第二年的六月份以前（不含六月）入库完毕，超过期限不得用于交割。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（二）进口3号烟胶片在库交割的有效期限为商检证签发之日起十八个月，超过期限的转作现货。用于实物交割的3号烟胶片应当在商检证签发之日起六个月内进库，否则不得用于交割。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（三）在库天然橡胶的商检证、质检证（或检测/鉴定报告）自签发之日起90天内有效。期满后，其相应的商品应当重新检验合格后方可用于下次交割。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第九十五条 到库天然橡胶应当干燥、清洁。指定交割仓库在验收时应当对整批交割商品的10%开包检查，并重新缝好。如发现有表面老化龟裂、雨淋、受潮、霉变、发黑、污染严重等影响使用的情况，予以拒收，不得用于交割。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第九十六条 标准仓单所列标的物应当是同一批次、同一包装规格的天然橡胶。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lastRenderedPageBreak/>
        <w:t xml:space="preserve">第九十七条 天然橡胶期货的交割结算价：天然橡胶期货的交割结算价为该合约最后5个有成交交易日的成交价格按照成交量的加权平均价。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交易所在收到买方会员的交割货款后，清退其交割部位保证金。交易所认为本次交割货物可能有质量异议的，有权在交割月份的下一月份的15日以后的第一个工作日对本次交割中没有产生异议的卖方会员，清退其交割部位保证金。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第九十八条 交收地点：交易所指定交割仓库，见附件二。 </w:t>
      </w:r>
    </w:p>
    <w:p w:rsidR="00001DC1" w:rsidRPr="00001DC1" w:rsidRDefault="00001DC1" w:rsidP="00001DC1">
      <w:pPr>
        <w:widowControl/>
        <w:adjustRightInd w:val="0"/>
        <w:spacing w:before="100" w:beforeAutospacing="1" w:after="100" w:afterAutospacing="1" w:line="520" w:lineRule="exact"/>
        <w:ind w:firstLineChars="200" w:firstLine="480"/>
        <w:jc w:val="left"/>
        <w:rPr>
          <w:rFonts w:ascii="宋体" w:eastAsia="宋体" w:hAnsi="宋体" w:cs="宋体"/>
          <w:kern w:val="0"/>
          <w:sz w:val="24"/>
          <w:szCs w:val="24"/>
        </w:rPr>
      </w:pPr>
      <w:r w:rsidRPr="00001DC1">
        <w:rPr>
          <w:rFonts w:ascii="宋体" w:eastAsia="宋体" w:hAnsi="宋体" w:cs="宋体"/>
          <w:kern w:val="0"/>
          <w:sz w:val="24"/>
          <w:szCs w:val="24"/>
        </w:rPr>
        <w:t> </w:t>
      </w:r>
    </w:p>
    <w:p w:rsidR="00001DC1" w:rsidRPr="00001DC1" w:rsidRDefault="00001DC1" w:rsidP="00001DC1">
      <w:pPr>
        <w:widowControl/>
        <w:tabs>
          <w:tab w:val="left" w:pos="420"/>
          <w:tab w:val="center" w:pos="4153"/>
          <w:tab w:val="right" w:pos="8306"/>
        </w:tabs>
        <w:spacing w:before="100" w:beforeAutospacing="1" w:after="100" w:afterAutospacing="1" w:line="520" w:lineRule="exact"/>
        <w:jc w:val="center"/>
        <w:rPr>
          <w:rFonts w:ascii="宋体" w:eastAsia="宋体" w:hAnsi="宋体" w:cs="宋体"/>
          <w:kern w:val="0"/>
          <w:sz w:val="24"/>
          <w:szCs w:val="24"/>
        </w:rPr>
      </w:pPr>
      <w:r w:rsidRPr="00001DC1">
        <w:rPr>
          <w:rFonts w:ascii="仿宋" w:eastAsia="仿宋" w:hAnsi="仿宋" w:cs="宋体" w:hint="eastAsia"/>
          <w:b/>
          <w:bCs/>
          <w:kern w:val="0"/>
          <w:sz w:val="32"/>
          <w:szCs w:val="32"/>
        </w:rPr>
        <w:t>第十四章 白银的交割</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第九十九条 交割单位：30千克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第一百条 交割品级见《上海期货交易所白银期货标准合约》。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第一百零一条 交割商品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应当是在本交易所注册的生产厂生产的注册商标的商品。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第一百零二条 交割商品的规格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交割银锭的规格为15千克±1千克和30千克±2千克。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lastRenderedPageBreak/>
        <w:t xml:space="preserve">每一仓单的银锭，应当是同一生产企业生产、同一牌号、同一注册商标、同一块形的商品组成。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第一百零三条 交割商品的包装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入库及出库银锭均无包装要求。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第一百零四条 交割商品必备单证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（一）国产商品：应当提供注册生产企业出具的产品质量证明书。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（二）进口商品：相关进口商品的单证要求由交易所另行发布。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第一百零五条 溢短和磅差：每张银锭标准仓单溢短不超过±2千克，每块银锭磅差不超过±1克。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第一百零六条 入库银锭的数（重）量检验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指定交割仓库对入库银锭进行点数并逐一复磅。在规定的磅差范围内，每块银锭的重量以生产企业的质量证明书标识的重量为准。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第一百零七条 在交割期内，如当日14:00之前办妥标准仓单、增值税专用发票、货款等交割事宜的，交易所当日即清退其相应的交割部位保证金。如当日14:00之后办妥的，交易所将在下一交易日清退交割部位保证金。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第一百零八条 交收地点：交易所指定交割仓库（由交易所指定并另行公告）。 </w:t>
      </w:r>
    </w:p>
    <w:p w:rsidR="00001DC1" w:rsidRPr="00001DC1" w:rsidRDefault="00001DC1" w:rsidP="00001DC1">
      <w:pPr>
        <w:widowControl/>
        <w:spacing w:before="100" w:beforeAutospacing="1" w:after="100" w:afterAutospacing="1"/>
        <w:jc w:val="left"/>
        <w:rPr>
          <w:rFonts w:ascii="宋体" w:eastAsia="宋体" w:hAnsi="宋体" w:cs="宋体"/>
          <w:kern w:val="0"/>
          <w:sz w:val="24"/>
          <w:szCs w:val="24"/>
        </w:rPr>
      </w:pPr>
      <w:r w:rsidRPr="00001DC1">
        <w:rPr>
          <w:rFonts w:ascii="宋体" w:eastAsia="宋体" w:hAnsi="宋体" w:cs="宋体" w:hint="eastAsia"/>
          <w:kern w:val="0"/>
          <w:sz w:val="32"/>
          <w:szCs w:val="32"/>
        </w:rPr>
        <w:lastRenderedPageBreak/>
        <w:t> </w:t>
      </w:r>
    </w:p>
    <w:p w:rsidR="00001DC1" w:rsidRPr="00001DC1" w:rsidRDefault="00001DC1" w:rsidP="00001DC1">
      <w:pPr>
        <w:widowControl/>
        <w:tabs>
          <w:tab w:val="left" w:pos="420"/>
          <w:tab w:val="center" w:pos="4153"/>
          <w:tab w:val="right" w:pos="8306"/>
        </w:tabs>
        <w:spacing w:before="100" w:beforeAutospacing="1" w:after="100" w:afterAutospacing="1" w:line="520" w:lineRule="exact"/>
        <w:jc w:val="center"/>
        <w:rPr>
          <w:rFonts w:ascii="宋体" w:eastAsia="宋体" w:hAnsi="宋体" w:cs="宋体"/>
          <w:kern w:val="0"/>
          <w:sz w:val="24"/>
          <w:szCs w:val="24"/>
        </w:rPr>
      </w:pPr>
      <w:r w:rsidRPr="00001DC1">
        <w:rPr>
          <w:rFonts w:ascii="仿宋" w:eastAsia="仿宋" w:hAnsi="仿宋" w:cs="宋体" w:hint="eastAsia"/>
          <w:b/>
          <w:bCs/>
          <w:kern w:val="0"/>
          <w:sz w:val="32"/>
          <w:szCs w:val="32"/>
        </w:rPr>
        <w:t>第十五章 期货转现货</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第一百零九条 </w:t>
      </w:r>
      <w:proofErr w:type="gramStart"/>
      <w:r w:rsidRPr="00001DC1">
        <w:rPr>
          <w:rFonts w:ascii="仿宋" w:eastAsia="仿宋" w:hAnsi="仿宋" w:cs="宋体" w:hint="eastAsia"/>
          <w:kern w:val="0"/>
          <w:sz w:val="32"/>
          <w:szCs w:val="32"/>
        </w:rPr>
        <w:t>期转现</w:t>
      </w:r>
      <w:proofErr w:type="gramEnd"/>
      <w:r w:rsidRPr="00001DC1">
        <w:rPr>
          <w:rFonts w:ascii="仿宋" w:eastAsia="仿宋" w:hAnsi="仿宋" w:cs="宋体" w:hint="eastAsia"/>
          <w:kern w:val="0"/>
          <w:sz w:val="32"/>
          <w:szCs w:val="32"/>
        </w:rPr>
        <w:t xml:space="preserve">是指持有方向相反的同一月份合约的会员（客户）协商一致并向交易所提出申请，获得交易所批准后，分别将各自持有的合约按交易所规定的价格由交易所代为平仓，同时按双方协议价格进行与期货合约标的物数量相当、品种相同、方向相同的仓单的交换行为。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第一百一十条 </w:t>
      </w:r>
      <w:proofErr w:type="gramStart"/>
      <w:r w:rsidRPr="00001DC1">
        <w:rPr>
          <w:rFonts w:ascii="仿宋" w:eastAsia="仿宋" w:hAnsi="仿宋" w:cs="宋体" w:hint="eastAsia"/>
          <w:kern w:val="0"/>
          <w:sz w:val="32"/>
          <w:szCs w:val="32"/>
        </w:rPr>
        <w:t>期转现</w:t>
      </w:r>
      <w:proofErr w:type="gramEnd"/>
      <w:r w:rsidRPr="00001DC1">
        <w:rPr>
          <w:rFonts w:ascii="仿宋" w:eastAsia="仿宋" w:hAnsi="仿宋" w:cs="宋体" w:hint="eastAsia"/>
          <w:kern w:val="0"/>
          <w:sz w:val="32"/>
          <w:szCs w:val="32"/>
        </w:rPr>
        <w:t>的期限为欲进行期</w:t>
      </w:r>
      <w:proofErr w:type="gramStart"/>
      <w:r w:rsidRPr="00001DC1">
        <w:rPr>
          <w:rFonts w:ascii="仿宋" w:eastAsia="仿宋" w:hAnsi="仿宋" w:cs="宋体" w:hint="eastAsia"/>
          <w:kern w:val="0"/>
          <w:sz w:val="32"/>
          <w:szCs w:val="32"/>
        </w:rPr>
        <w:t>转现合约</w:t>
      </w:r>
      <w:proofErr w:type="gramEnd"/>
      <w:r w:rsidRPr="00001DC1">
        <w:rPr>
          <w:rFonts w:ascii="仿宋" w:eastAsia="仿宋" w:hAnsi="仿宋" w:cs="宋体" w:hint="eastAsia"/>
          <w:kern w:val="0"/>
          <w:sz w:val="32"/>
          <w:szCs w:val="32"/>
        </w:rPr>
        <w:t xml:space="preserve">的上市之日起至交割月份最后交易日前二个交易日（含当日）止。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持有同一交割月份合约的买卖双方会员（客户）达成协议后，在上述期限内的交易日的14:00前，到交易所申请办理</w:t>
      </w:r>
      <w:proofErr w:type="gramStart"/>
      <w:r w:rsidRPr="00001DC1">
        <w:rPr>
          <w:rFonts w:ascii="仿宋" w:eastAsia="仿宋" w:hAnsi="仿宋" w:cs="宋体" w:hint="eastAsia"/>
          <w:kern w:val="0"/>
          <w:sz w:val="32"/>
          <w:szCs w:val="32"/>
        </w:rPr>
        <w:t>期转现手续</w:t>
      </w:r>
      <w:proofErr w:type="gramEnd"/>
      <w:r w:rsidRPr="00001DC1">
        <w:rPr>
          <w:rFonts w:ascii="仿宋" w:eastAsia="仿宋" w:hAnsi="仿宋" w:cs="宋体" w:hint="eastAsia"/>
          <w:kern w:val="0"/>
          <w:sz w:val="32"/>
          <w:szCs w:val="32"/>
        </w:rPr>
        <w:t>，填写交易所统一印制的</w:t>
      </w:r>
      <w:proofErr w:type="gramStart"/>
      <w:r w:rsidRPr="00001DC1">
        <w:rPr>
          <w:rFonts w:ascii="仿宋" w:eastAsia="仿宋" w:hAnsi="仿宋" w:cs="宋体" w:hint="eastAsia"/>
          <w:kern w:val="0"/>
          <w:sz w:val="32"/>
          <w:szCs w:val="32"/>
        </w:rPr>
        <w:t>期转现</w:t>
      </w:r>
      <w:proofErr w:type="gramEnd"/>
      <w:r w:rsidRPr="00001DC1">
        <w:rPr>
          <w:rFonts w:ascii="仿宋" w:eastAsia="仿宋" w:hAnsi="仿宋" w:cs="宋体" w:hint="eastAsia"/>
          <w:kern w:val="0"/>
          <w:sz w:val="32"/>
          <w:szCs w:val="32"/>
        </w:rPr>
        <w:t xml:space="preserve">申请单（见附件三）。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用非标准仓单交割的，应当提供相关的买卖协议和提单复印件。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第一百一十一条 </w:t>
      </w:r>
      <w:proofErr w:type="gramStart"/>
      <w:r w:rsidRPr="00001DC1">
        <w:rPr>
          <w:rFonts w:ascii="仿宋" w:eastAsia="仿宋" w:hAnsi="仿宋" w:cs="宋体" w:hint="eastAsia"/>
          <w:kern w:val="0"/>
          <w:sz w:val="32"/>
          <w:szCs w:val="32"/>
        </w:rPr>
        <w:t>期转现</w:t>
      </w:r>
      <w:proofErr w:type="gramEnd"/>
      <w:r w:rsidRPr="00001DC1">
        <w:rPr>
          <w:rFonts w:ascii="仿宋" w:eastAsia="仿宋" w:hAnsi="仿宋" w:cs="宋体" w:hint="eastAsia"/>
          <w:kern w:val="0"/>
          <w:sz w:val="32"/>
          <w:szCs w:val="32"/>
        </w:rPr>
        <w:t xml:space="preserve">仅适用于本所所有上市品种的历史持仓，不适用在申请日的新开仓。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第一百一十二条 </w:t>
      </w:r>
      <w:proofErr w:type="gramStart"/>
      <w:r w:rsidRPr="00001DC1">
        <w:rPr>
          <w:rFonts w:ascii="仿宋" w:eastAsia="仿宋" w:hAnsi="仿宋" w:cs="宋体" w:hint="eastAsia"/>
          <w:kern w:val="0"/>
          <w:sz w:val="32"/>
          <w:szCs w:val="32"/>
        </w:rPr>
        <w:t>期转现</w:t>
      </w:r>
      <w:proofErr w:type="gramEnd"/>
      <w:r w:rsidRPr="00001DC1">
        <w:rPr>
          <w:rFonts w:ascii="仿宋" w:eastAsia="仿宋" w:hAnsi="仿宋" w:cs="宋体" w:hint="eastAsia"/>
          <w:kern w:val="0"/>
          <w:sz w:val="32"/>
          <w:szCs w:val="32"/>
        </w:rPr>
        <w:t xml:space="preserve">的交割结算价为买卖双方会员（客户）达成的协议价。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第一百一十三条 申请</w:t>
      </w:r>
      <w:proofErr w:type="gramStart"/>
      <w:r w:rsidRPr="00001DC1">
        <w:rPr>
          <w:rFonts w:ascii="仿宋" w:eastAsia="仿宋" w:hAnsi="仿宋" w:cs="宋体" w:hint="eastAsia"/>
          <w:kern w:val="0"/>
          <w:sz w:val="32"/>
          <w:szCs w:val="32"/>
        </w:rPr>
        <w:t>期转现</w:t>
      </w:r>
      <w:proofErr w:type="gramEnd"/>
      <w:r w:rsidRPr="00001DC1">
        <w:rPr>
          <w:rFonts w:ascii="仿宋" w:eastAsia="仿宋" w:hAnsi="仿宋" w:cs="宋体" w:hint="eastAsia"/>
          <w:kern w:val="0"/>
          <w:sz w:val="32"/>
          <w:szCs w:val="32"/>
        </w:rPr>
        <w:t xml:space="preserve">的买卖双方原持有的相应交割月份期货头寸，由交易所在申请日的15:00之前，按申请日前一交易日交割月份合约的结算价平仓。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lastRenderedPageBreak/>
        <w:t xml:space="preserve">第一百一十四条 </w:t>
      </w:r>
      <w:proofErr w:type="gramStart"/>
      <w:r w:rsidRPr="00001DC1">
        <w:rPr>
          <w:rFonts w:ascii="仿宋" w:eastAsia="仿宋" w:hAnsi="仿宋" w:cs="宋体" w:hint="eastAsia"/>
          <w:kern w:val="0"/>
          <w:sz w:val="32"/>
          <w:szCs w:val="32"/>
        </w:rPr>
        <w:t>期转现</w:t>
      </w:r>
      <w:proofErr w:type="gramEnd"/>
      <w:r w:rsidRPr="00001DC1">
        <w:rPr>
          <w:rFonts w:ascii="仿宋" w:eastAsia="仿宋" w:hAnsi="仿宋" w:cs="宋体" w:hint="eastAsia"/>
          <w:kern w:val="0"/>
          <w:sz w:val="32"/>
          <w:szCs w:val="32"/>
        </w:rPr>
        <w:t xml:space="preserve">的交易保证金按申请日前一交易日交割月份期货合约结算价计算。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第一百一十五条 </w:t>
      </w:r>
      <w:proofErr w:type="gramStart"/>
      <w:r w:rsidRPr="00001DC1">
        <w:rPr>
          <w:rFonts w:ascii="仿宋" w:eastAsia="仿宋" w:hAnsi="仿宋" w:cs="宋体" w:hint="eastAsia"/>
          <w:kern w:val="0"/>
          <w:sz w:val="32"/>
          <w:szCs w:val="32"/>
        </w:rPr>
        <w:t>期转现</w:t>
      </w:r>
      <w:proofErr w:type="gramEnd"/>
      <w:r w:rsidRPr="00001DC1">
        <w:rPr>
          <w:rFonts w:ascii="仿宋" w:eastAsia="仿宋" w:hAnsi="仿宋" w:cs="宋体" w:hint="eastAsia"/>
          <w:kern w:val="0"/>
          <w:sz w:val="32"/>
          <w:szCs w:val="32"/>
        </w:rPr>
        <w:t>的票据交换（包括货款、仓单）在申请</w:t>
      </w:r>
      <w:proofErr w:type="gramStart"/>
      <w:r w:rsidRPr="00001DC1">
        <w:rPr>
          <w:rFonts w:ascii="仿宋" w:eastAsia="仿宋" w:hAnsi="仿宋" w:cs="宋体" w:hint="eastAsia"/>
          <w:kern w:val="0"/>
          <w:sz w:val="32"/>
          <w:szCs w:val="32"/>
        </w:rPr>
        <w:t>日后一</w:t>
      </w:r>
      <w:proofErr w:type="gramEnd"/>
      <w:r w:rsidRPr="00001DC1">
        <w:rPr>
          <w:rFonts w:ascii="仿宋" w:eastAsia="仿宋" w:hAnsi="仿宋" w:cs="宋体" w:hint="eastAsia"/>
          <w:kern w:val="0"/>
          <w:sz w:val="32"/>
          <w:szCs w:val="32"/>
        </w:rPr>
        <w:t xml:space="preserve">交易日14:00前在本交易所内完成。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第一百一十六条 </w:t>
      </w:r>
      <w:proofErr w:type="gramStart"/>
      <w:r w:rsidRPr="00001DC1">
        <w:rPr>
          <w:rFonts w:ascii="仿宋" w:eastAsia="仿宋" w:hAnsi="仿宋" w:cs="宋体" w:hint="eastAsia"/>
          <w:kern w:val="0"/>
          <w:sz w:val="32"/>
          <w:szCs w:val="32"/>
        </w:rPr>
        <w:t>期转现</w:t>
      </w:r>
      <w:proofErr w:type="gramEnd"/>
      <w:r w:rsidRPr="00001DC1">
        <w:rPr>
          <w:rFonts w:ascii="仿宋" w:eastAsia="仿宋" w:hAnsi="仿宋" w:cs="宋体" w:hint="eastAsia"/>
          <w:kern w:val="0"/>
          <w:sz w:val="32"/>
          <w:szCs w:val="32"/>
        </w:rPr>
        <w:t xml:space="preserve">的交割货款可以采用内转或银行划转方式办理。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第一百一十七条 卖出方应当在办理</w:t>
      </w:r>
      <w:proofErr w:type="gramStart"/>
      <w:r w:rsidRPr="00001DC1">
        <w:rPr>
          <w:rFonts w:ascii="仿宋" w:eastAsia="仿宋" w:hAnsi="仿宋" w:cs="宋体" w:hint="eastAsia"/>
          <w:kern w:val="0"/>
          <w:sz w:val="32"/>
          <w:szCs w:val="32"/>
        </w:rPr>
        <w:t>期转现手续</w:t>
      </w:r>
      <w:proofErr w:type="gramEnd"/>
      <w:r w:rsidRPr="00001DC1">
        <w:rPr>
          <w:rFonts w:ascii="仿宋" w:eastAsia="仿宋" w:hAnsi="仿宋" w:cs="宋体" w:hint="eastAsia"/>
          <w:kern w:val="0"/>
          <w:sz w:val="32"/>
          <w:szCs w:val="32"/>
        </w:rPr>
        <w:t xml:space="preserve">后七日内向交易所提交增值税专用发票。如卖方在14:00之前交付增值税专用发票的，经复核无误后，交易所退付卖方相应的保证金。如在14:00之后交付的，交易所在下一交易日结算时清退相应的保证金。交易所在收到卖方增值税专用发票的下一个工作日内向买方开具增值税专用发票。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未按时提交增值税发票的，按《上海期货交易所结算细则》中的有关规定处理。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第一百一十八条 未按本章第一百一十五条规定的期限完成交割的，按本交割细则中有关交割违约的规定执行; 发生交割实物质量纠纷的，买方应当在票据交换日后的25天内提出质量异议申请，并应当同时提供本交易所指定的质量监督检验机构出具的质量鉴定结论。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涉及非标准仓单交割实物质量纠纷的，由相关会员协调处理，交易所对此不承担担保责任。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第一百一十九条 对非善意</w:t>
      </w:r>
      <w:proofErr w:type="gramStart"/>
      <w:r w:rsidRPr="00001DC1">
        <w:rPr>
          <w:rFonts w:ascii="仿宋" w:eastAsia="仿宋" w:hAnsi="仿宋" w:cs="宋体" w:hint="eastAsia"/>
          <w:kern w:val="0"/>
          <w:sz w:val="32"/>
          <w:szCs w:val="32"/>
        </w:rPr>
        <w:t>的期转现行</w:t>
      </w:r>
      <w:proofErr w:type="gramEnd"/>
      <w:r w:rsidRPr="00001DC1">
        <w:rPr>
          <w:rFonts w:ascii="仿宋" w:eastAsia="仿宋" w:hAnsi="仿宋" w:cs="宋体" w:hint="eastAsia"/>
          <w:kern w:val="0"/>
          <w:sz w:val="32"/>
          <w:szCs w:val="32"/>
        </w:rPr>
        <w:t xml:space="preserve">为，按《上海期货交易所违规处理办法》中的有关规定处理。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lastRenderedPageBreak/>
        <w:t>第一百二十条 交易所将及时公布</w:t>
      </w:r>
      <w:proofErr w:type="gramStart"/>
      <w:r w:rsidRPr="00001DC1">
        <w:rPr>
          <w:rFonts w:ascii="仿宋" w:eastAsia="仿宋" w:hAnsi="仿宋" w:cs="宋体" w:hint="eastAsia"/>
          <w:kern w:val="0"/>
          <w:sz w:val="32"/>
          <w:szCs w:val="32"/>
        </w:rPr>
        <w:t>期转现</w:t>
      </w:r>
      <w:proofErr w:type="gramEnd"/>
      <w:r w:rsidRPr="00001DC1">
        <w:rPr>
          <w:rFonts w:ascii="仿宋" w:eastAsia="仿宋" w:hAnsi="仿宋" w:cs="宋体" w:hint="eastAsia"/>
          <w:kern w:val="0"/>
          <w:sz w:val="32"/>
          <w:szCs w:val="32"/>
        </w:rPr>
        <w:t xml:space="preserve">的有关信息。 </w:t>
      </w:r>
    </w:p>
    <w:p w:rsidR="00001DC1" w:rsidRPr="00001DC1" w:rsidRDefault="00001DC1" w:rsidP="00001DC1">
      <w:pPr>
        <w:widowControl/>
        <w:adjustRightInd w:val="0"/>
        <w:spacing w:before="100" w:beforeAutospacing="1" w:after="100" w:afterAutospacing="1" w:line="480" w:lineRule="exact"/>
        <w:ind w:firstLineChars="200" w:firstLine="640"/>
        <w:jc w:val="left"/>
        <w:rPr>
          <w:rFonts w:ascii="宋体" w:eastAsia="宋体" w:hAnsi="宋体" w:cs="宋体"/>
          <w:kern w:val="0"/>
          <w:sz w:val="24"/>
          <w:szCs w:val="24"/>
        </w:rPr>
      </w:pPr>
      <w:r w:rsidRPr="00001DC1">
        <w:rPr>
          <w:rFonts w:ascii="宋体" w:eastAsia="宋体" w:hAnsi="宋体" w:cs="宋体" w:hint="eastAsia"/>
          <w:kern w:val="0"/>
          <w:sz w:val="32"/>
          <w:szCs w:val="32"/>
        </w:rPr>
        <w:t> </w:t>
      </w:r>
    </w:p>
    <w:p w:rsidR="00001DC1" w:rsidRPr="00001DC1" w:rsidRDefault="00001DC1" w:rsidP="00001DC1">
      <w:pPr>
        <w:widowControl/>
        <w:tabs>
          <w:tab w:val="left" w:pos="420"/>
          <w:tab w:val="center" w:pos="4153"/>
          <w:tab w:val="right" w:pos="8306"/>
        </w:tabs>
        <w:spacing w:before="100" w:beforeAutospacing="1" w:after="100" w:afterAutospacing="1" w:line="520" w:lineRule="exact"/>
        <w:jc w:val="center"/>
        <w:rPr>
          <w:rFonts w:ascii="宋体" w:eastAsia="宋体" w:hAnsi="宋体" w:cs="宋体"/>
          <w:kern w:val="0"/>
          <w:sz w:val="24"/>
          <w:szCs w:val="24"/>
        </w:rPr>
      </w:pPr>
      <w:r w:rsidRPr="00001DC1">
        <w:rPr>
          <w:rFonts w:ascii="仿宋" w:eastAsia="仿宋" w:hAnsi="仿宋" w:cs="宋体" w:hint="eastAsia"/>
          <w:b/>
          <w:bCs/>
          <w:kern w:val="0"/>
          <w:sz w:val="32"/>
          <w:szCs w:val="32"/>
        </w:rPr>
        <w:t>第十六章 交割费用</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第一百二十一条 进行实物交割的双方应当分别向交易所交纳交割手续费。铜2元/吨、铝2元/吨、锌2元/吨、螺纹钢和线材1元/吨、天然橡胶4元/吨。铅、镍、锡、白银和热轧卷板期货品种的交割手续费由交易所确定并另行公布。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第一百二十二条 商品出入库和在库储存期间发生的费用项目和标准由交易所核定。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第一百二十三条 指定交割仓库正常收费项目和费用计收方法如下: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一）进库费、出库费、装卸费、打包（装袋）费、分拣（整理）费、过户费、代办费、加急费及需特殊处理的劳务作业费用以及经交易所核定的其他费用，由指定交割仓库根据实际发生的项目及劳务，按规定标准出具合法结算凭证，交货主核对后，由货主向指定交割仓库一次付清。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（二）仓储费按日收取。最后交割日以前（含当日）的仓储费用由卖方承担，最后交割日以后的仓储费用由买方承担。收费后，由指定交割仓库在标准仓单上注明</w:t>
      </w:r>
      <w:proofErr w:type="gramStart"/>
      <w:r w:rsidRPr="00001DC1">
        <w:rPr>
          <w:rFonts w:ascii="仿宋" w:eastAsia="仿宋" w:hAnsi="仿宋" w:cs="宋体" w:hint="eastAsia"/>
          <w:kern w:val="0"/>
          <w:sz w:val="32"/>
          <w:szCs w:val="32"/>
        </w:rPr>
        <w:t>仓储费付止日期</w:t>
      </w:r>
      <w:proofErr w:type="gramEnd"/>
      <w:r w:rsidRPr="00001DC1">
        <w:rPr>
          <w:rFonts w:ascii="仿宋" w:eastAsia="仿宋" w:hAnsi="仿宋" w:cs="宋体" w:hint="eastAsia"/>
          <w:kern w:val="0"/>
          <w:sz w:val="32"/>
          <w:szCs w:val="32"/>
        </w:rPr>
        <w:t xml:space="preserve">。货主应当在每月月底前到指定交割仓库办理付费手续，可以预付。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lastRenderedPageBreak/>
        <w:t xml:space="preserve">铜、铝、锌、铅、镍、锡、螺纹钢、线材、白银、热轧卷板、天然橡胶指定交割仓库的收费标准由交易所确定并另行公布。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宋体" w:eastAsia="宋体" w:hAnsi="宋体" w:cs="宋体" w:hint="eastAsia"/>
          <w:strike/>
          <w:kern w:val="0"/>
          <w:sz w:val="32"/>
          <w:szCs w:val="32"/>
        </w:rPr>
        <w:t>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宋体" w:eastAsia="宋体" w:hAnsi="宋体" w:cs="宋体" w:hint="eastAsia"/>
          <w:kern w:val="0"/>
          <w:sz w:val="32"/>
          <w:szCs w:val="32"/>
        </w:rPr>
        <w:t> </w:t>
      </w:r>
    </w:p>
    <w:p w:rsidR="00001DC1" w:rsidRPr="00001DC1" w:rsidRDefault="00001DC1" w:rsidP="00001DC1">
      <w:pPr>
        <w:widowControl/>
        <w:tabs>
          <w:tab w:val="left" w:pos="420"/>
          <w:tab w:val="center" w:pos="4153"/>
          <w:tab w:val="right" w:pos="8306"/>
        </w:tabs>
        <w:spacing w:before="100" w:beforeAutospacing="1" w:after="100" w:afterAutospacing="1" w:line="520" w:lineRule="exact"/>
        <w:jc w:val="center"/>
        <w:rPr>
          <w:rFonts w:ascii="宋体" w:eastAsia="宋体" w:hAnsi="宋体" w:cs="宋体"/>
          <w:kern w:val="0"/>
          <w:sz w:val="24"/>
          <w:szCs w:val="24"/>
        </w:rPr>
      </w:pPr>
      <w:r w:rsidRPr="00001DC1">
        <w:rPr>
          <w:rFonts w:ascii="仿宋" w:eastAsia="仿宋" w:hAnsi="仿宋" w:cs="宋体" w:hint="eastAsia"/>
          <w:b/>
          <w:bCs/>
          <w:kern w:val="0"/>
          <w:sz w:val="32"/>
          <w:szCs w:val="32"/>
        </w:rPr>
        <w:t>第十七章 交割违约</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第一百二十四条 具有下列行为之一的，构成交割违约: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（一）在规定交割期限内卖方未能如数交付标准仓单的;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（二）在规定交割期限内买方未能如数解付货款的;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（三）卖方交付的商品不符合规定标准的。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第一百二十五条 在计算买方交割违约合约数量时，违约部分应当预留合约价值20%的违约金和赔偿金。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计算买、卖方交割违约合约数量的公式为: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卖方交割违约合约数量（手）= 应交标准仓单数量（手）-已交标准仓单数量（手）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买方交割违约合约数量（手）=（应交货款-已交货款）÷（1-20%）÷ 交割结算价÷ 交易单位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第一百二十六条 发生交割违约后，交易所于违约发生当日16:30以前通知违约方和相对应的守约方。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lastRenderedPageBreak/>
        <w:t xml:space="preserve">守约方应当在下一交易日11:00以前将终止交割或继续交割的选择意向书面递交交易所。逾期未提交选择意向的，交易所按终止交割处理。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第一百二十七条 构成交割违约的，由违约方支付违约部分合约价值5%的违约金，同时按以下办法处理: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（一）卖方违约的，买方可以作如下的一项选择：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1、终止交割: 交易所退还买方货款;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2、继续交割: 交易所在判定卖方违约的下一交易日发布标准仓单征购公告，并在七个交易日内组织征购。征购成功，交易所支付给买方标准仓单; 征购失败，卖方支付给买方违约部分合约价值15%的赔偿金，交易所退还买方交割货款后终止交割。卖方承担因征购产生的一切经济损失和费用。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（二）买方违约的，卖方可以作如下的一项选择：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1、终止交割: 交易所退还卖方标准仓单;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2、继续交割: 交易所在判定买方违约的下一交易日发布标准仓单竞卖公告，并在七个交易日内组织竞卖。竞卖成功，交易所支付给卖方交割货款; 竞卖失败，买方支付给卖方违约部分合约价值15%的赔偿金，交易所退还卖方标准仓单后终止交割。买方承担因竞卖产生的一切经济损失和费用。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终止交割后，交易所交割担保责任终止。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lastRenderedPageBreak/>
        <w:t xml:space="preserve">第一百二十八条 征购价格不高于交割结算价的125%，竞卖价格不低于交割结算价的75%。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第一百二十九条 若买卖双方都违约的，交易所按终止交割处理，并对双方分别处以违约部分合约价值5%的罚款。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第一百三十条 会员发生部分交割违约时，违约会员所接标准仓单或所得货款可以用于违约处理。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第一百三十一条 会员在实物交割环节上蓄意违约，按《上海期货交易所违规处理办法》的有关规定处理。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第一百三十二条 发生违约行为的会员当事人及指定交割仓库有义务提供与违约行为相关的证据材料。会员拒不提供证据的，不影响对违约事实的认定。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第一百三十三条 货主与指定交割仓库就交收的商品检验结果发生争议时，一般通过双方会验的方式解决。也可以提请交易所指定的质量检验机构复验，复验结果为解决争议的依据。</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宋体" w:eastAsia="宋体" w:hAnsi="宋体" w:cs="宋体" w:hint="eastAsia"/>
          <w:kern w:val="0"/>
          <w:sz w:val="32"/>
          <w:szCs w:val="32"/>
        </w:rPr>
        <w:t> </w:t>
      </w:r>
    </w:p>
    <w:p w:rsidR="00001DC1" w:rsidRPr="00001DC1" w:rsidRDefault="00001DC1" w:rsidP="00001DC1">
      <w:pPr>
        <w:widowControl/>
        <w:tabs>
          <w:tab w:val="left" w:pos="420"/>
          <w:tab w:val="center" w:pos="4153"/>
          <w:tab w:val="right" w:pos="8306"/>
        </w:tabs>
        <w:spacing w:before="100" w:beforeAutospacing="1" w:after="100" w:afterAutospacing="1" w:line="520" w:lineRule="exact"/>
        <w:jc w:val="center"/>
        <w:rPr>
          <w:rFonts w:ascii="宋体" w:eastAsia="宋体" w:hAnsi="宋体" w:cs="宋体"/>
          <w:kern w:val="0"/>
          <w:sz w:val="24"/>
          <w:szCs w:val="24"/>
        </w:rPr>
      </w:pPr>
      <w:r w:rsidRPr="00001DC1">
        <w:rPr>
          <w:rFonts w:ascii="仿宋" w:eastAsia="仿宋" w:hAnsi="仿宋" w:cs="宋体" w:hint="eastAsia"/>
          <w:b/>
          <w:bCs/>
          <w:kern w:val="0"/>
          <w:sz w:val="32"/>
          <w:szCs w:val="32"/>
        </w:rPr>
        <w:t>第十八章 附 则</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第一百三十四条 燃料油、黄金、石油沥青等的交割规定由交易所另行发布。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第一百三十五条 有关即期合约交易、标准仓单交易的组织和实施办法另行制定。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lastRenderedPageBreak/>
        <w:t xml:space="preserve">第一百三十六条 违反本细则规定的，交易所按《上海期货交易所违规处理办法》的有关规定处理。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第一百三十七条 本细则的解释权属于上海期货交易所。 </w:t>
      </w:r>
    </w:p>
    <w:p w:rsidR="00001DC1"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仿宋" w:eastAsia="仿宋" w:hAnsi="仿宋" w:cs="宋体" w:hint="eastAsia"/>
          <w:kern w:val="0"/>
          <w:sz w:val="32"/>
          <w:szCs w:val="32"/>
        </w:rPr>
        <w:t xml:space="preserve">第一百三十八条 本细则自2016年6月1日起实施。 </w:t>
      </w:r>
    </w:p>
    <w:p w:rsidR="00B255D5" w:rsidRPr="00001DC1" w:rsidRDefault="00001DC1" w:rsidP="00001DC1">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001DC1">
        <w:rPr>
          <w:rFonts w:ascii="宋体" w:eastAsia="宋体" w:hAnsi="宋体" w:cs="宋体" w:hint="eastAsia"/>
          <w:kern w:val="0"/>
          <w:sz w:val="32"/>
          <w:szCs w:val="32"/>
        </w:rPr>
        <w:t> </w:t>
      </w:r>
    </w:p>
    <w:sectPr w:rsidR="00B255D5" w:rsidRPr="00001DC1" w:rsidSect="00B255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948" w:rsidRDefault="00B41948" w:rsidP="00001DC1">
      <w:r>
        <w:separator/>
      </w:r>
    </w:p>
  </w:endnote>
  <w:endnote w:type="continuationSeparator" w:id="0">
    <w:p w:rsidR="00B41948" w:rsidRDefault="00B41948" w:rsidP="00001D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948" w:rsidRDefault="00B41948" w:rsidP="00001DC1">
      <w:r>
        <w:separator/>
      </w:r>
    </w:p>
  </w:footnote>
  <w:footnote w:type="continuationSeparator" w:id="0">
    <w:p w:rsidR="00B41948" w:rsidRDefault="00B41948" w:rsidP="00001D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1DC1"/>
    <w:rsid w:val="00001DC1"/>
    <w:rsid w:val="00001F4F"/>
    <w:rsid w:val="000027B2"/>
    <w:rsid w:val="00002B41"/>
    <w:rsid w:val="00004BDF"/>
    <w:rsid w:val="00006C56"/>
    <w:rsid w:val="00007703"/>
    <w:rsid w:val="00007D04"/>
    <w:rsid w:val="00010EF6"/>
    <w:rsid w:val="000126A2"/>
    <w:rsid w:val="00012A30"/>
    <w:rsid w:val="0001343F"/>
    <w:rsid w:val="00014316"/>
    <w:rsid w:val="00014FFA"/>
    <w:rsid w:val="00015894"/>
    <w:rsid w:val="00015C81"/>
    <w:rsid w:val="000205E5"/>
    <w:rsid w:val="0002070E"/>
    <w:rsid w:val="000218A0"/>
    <w:rsid w:val="00022E07"/>
    <w:rsid w:val="00027A4F"/>
    <w:rsid w:val="000309C3"/>
    <w:rsid w:val="00032DF0"/>
    <w:rsid w:val="00034730"/>
    <w:rsid w:val="000378D6"/>
    <w:rsid w:val="00040214"/>
    <w:rsid w:val="0004142D"/>
    <w:rsid w:val="00041848"/>
    <w:rsid w:val="000418F2"/>
    <w:rsid w:val="00044DA0"/>
    <w:rsid w:val="000450D5"/>
    <w:rsid w:val="000457F7"/>
    <w:rsid w:val="00045DA5"/>
    <w:rsid w:val="00047B43"/>
    <w:rsid w:val="00053AE2"/>
    <w:rsid w:val="00060F54"/>
    <w:rsid w:val="000675C5"/>
    <w:rsid w:val="00067FB4"/>
    <w:rsid w:val="00071466"/>
    <w:rsid w:val="00072300"/>
    <w:rsid w:val="000729D6"/>
    <w:rsid w:val="00081E95"/>
    <w:rsid w:val="00087BB5"/>
    <w:rsid w:val="00091744"/>
    <w:rsid w:val="000919E7"/>
    <w:rsid w:val="00093D6E"/>
    <w:rsid w:val="00096E5D"/>
    <w:rsid w:val="000A25B6"/>
    <w:rsid w:val="000A2E2A"/>
    <w:rsid w:val="000A3A03"/>
    <w:rsid w:val="000A47EA"/>
    <w:rsid w:val="000B438E"/>
    <w:rsid w:val="000B4446"/>
    <w:rsid w:val="000B5BCF"/>
    <w:rsid w:val="000C1190"/>
    <w:rsid w:val="000C1271"/>
    <w:rsid w:val="000C1A38"/>
    <w:rsid w:val="000C1B7F"/>
    <w:rsid w:val="000C531A"/>
    <w:rsid w:val="000C5D7F"/>
    <w:rsid w:val="000D05DD"/>
    <w:rsid w:val="000D211F"/>
    <w:rsid w:val="000D2CD4"/>
    <w:rsid w:val="000D3FC4"/>
    <w:rsid w:val="000D4155"/>
    <w:rsid w:val="000D5377"/>
    <w:rsid w:val="000D5AA3"/>
    <w:rsid w:val="000D768F"/>
    <w:rsid w:val="000D7D71"/>
    <w:rsid w:val="000E2386"/>
    <w:rsid w:val="000E52AC"/>
    <w:rsid w:val="000E6E41"/>
    <w:rsid w:val="000E7272"/>
    <w:rsid w:val="000F1320"/>
    <w:rsid w:val="000F5EC1"/>
    <w:rsid w:val="00111407"/>
    <w:rsid w:val="00111991"/>
    <w:rsid w:val="00115FD9"/>
    <w:rsid w:val="0011631F"/>
    <w:rsid w:val="001178AA"/>
    <w:rsid w:val="0012263F"/>
    <w:rsid w:val="001229B1"/>
    <w:rsid w:val="00123D00"/>
    <w:rsid w:val="00124FF7"/>
    <w:rsid w:val="001256C6"/>
    <w:rsid w:val="001265FA"/>
    <w:rsid w:val="0012795E"/>
    <w:rsid w:val="001279B2"/>
    <w:rsid w:val="00130591"/>
    <w:rsid w:val="001307E7"/>
    <w:rsid w:val="00130D89"/>
    <w:rsid w:val="001322BA"/>
    <w:rsid w:val="00132906"/>
    <w:rsid w:val="00133A13"/>
    <w:rsid w:val="001357C0"/>
    <w:rsid w:val="00136380"/>
    <w:rsid w:val="001404BF"/>
    <w:rsid w:val="00141B23"/>
    <w:rsid w:val="00144CBF"/>
    <w:rsid w:val="00145645"/>
    <w:rsid w:val="00146BFC"/>
    <w:rsid w:val="00147E68"/>
    <w:rsid w:val="001504D8"/>
    <w:rsid w:val="001542CF"/>
    <w:rsid w:val="00156864"/>
    <w:rsid w:val="00161C65"/>
    <w:rsid w:val="001636A8"/>
    <w:rsid w:val="00163786"/>
    <w:rsid w:val="001645E9"/>
    <w:rsid w:val="00164DC2"/>
    <w:rsid w:val="00164EEB"/>
    <w:rsid w:val="00166A6A"/>
    <w:rsid w:val="00167CD8"/>
    <w:rsid w:val="00170A1D"/>
    <w:rsid w:val="00171285"/>
    <w:rsid w:val="00172A0D"/>
    <w:rsid w:val="00172F80"/>
    <w:rsid w:val="001742A7"/>
    <w:rsid w:val="00175075"/>
    <w:rsid w:val="0017527E"/>
    <w:rsid w:val="00180806"/>
    <w:rsid w:val="00181D22"/>
    <w:rsid w:val="00183A08"/>
    <w:rsid w:val="00186987"/>
    <w:rsid w:val="00186C09"/>
    <w:rsid w:val="0019207D"/>
    <w:rsid w:val="001932FD"/>
    <w:rsid w:val="00194B1B"/>
    <w:rsid w:val="0019706A"/>
    <w:rsid w:val="00197BB8"/>
    <w:rsid w:val="001A0093"/>
    <w:rsid w:val="001A2C64"/>
    <w:rsid w:val="001A3B9A"/>
    <w:rsid w:val="001A7A09"/>
    <w:rsid w:val="001B33CE"/>
    <w:rsid w:val="001B56AC"/>
    <w:rsid w:val="001B69D1"/>
    <w:rsid w:val="001C5439"/>
    <w:rsid w:val="001D144A"/>
    <w:rsid w:val="001D1D43"/>
    <w:rsid w:val="001D4A5A"/>
    <w:rsid w:val="001E0354"/>
    <w:rsid w:val="001E0A32"/>
    <w:rsid w:val="001E0EE6"/>
    <w:rsid w:val="001E1D0E"/>
    <w:rsid w:val="001E1F0D"/>
    <w:rsid w:val="001E2289"/>
    <w:rsid w:val="001E744F"/>
    <w:rsid w:val="001E76C0"/>
    <w:rsid w:val="001F0ED7"/>
    <w:rsid w:val="001F193D"/>
    <w:rsid w:val="001F1FAA"/>
    <w:rsid w:val="001F3B32"/>
    <w:rsid w:val="001F5702"/>
    <w:rsid w:val="001F642D"/>
    <w:rsid w:val="002020A7"/>
    <w:rsid w:val="00203AEE"/>
    <w:rsid w:val="00204257"/>
    <w:rsid w:val="002052A0"/>
    <w:rsid w:val="00206F95"/>
    <w:rsid w:val="00211B2C"/>
    <w:rsid w:val="00213B90"/>
    <w:rsid w:val="002160E8"/>
    <w:rsid w:val="00220DD5"/>
    <w:rsid w:val="00222C9C"/>
    <w:rsid w:val="00227074"/>
    <w:rsid w:val="00232B9B"/>
    <w:rsid w:val="00234A57"/>
    <w:rsid w:val="00235141"/>
    <w:rsid w:val="00235EE4"/>
    <w:rsid w:val="00236D8B"/>
    <w:rsid w:val="00236EBA"/>
    <w:rsid w:val="002411D6"/>
    <w:rsid w:val="00243F71"/>
    <w:rsid w:val="00246800"/>
    <w:rsid w:val="00247E83"/>
    <w:rsid w:val="00251D11"/>
    <w:rsid w:val="00252E75"/>
    <w:rsid w:val="00252FA4"/>
    <w:rsid w:val="00254EFD"/>
    <w:rsid w:val="00256B89"/>
    <w:rsid w:val="00260C90"/>
    <w:rsid w:val="002630DB"/>
    <w:rsid w:val="00267EAA"/>
    <w:rsid w:val="0027111F"/>
    <w:rsid w:val="002743AE"/>
    <w:rsid w:val="00274F77"/>
    <w:rsid w:val="00290E5B"/>
    <w:rsid w:val="00293220"/>
    <w:rsid w:val="0029763A"/>
    <w:rsid w:val="002A4EAD"/>
    <w:rsid w:val="002B1945"/>
    <w:rsid w:val="002B21A9"/>
    <w:rsid w:val="002B3DB7"/>
    <w:rsid w:val="002B52D2"/>
    <w:rsid w:val="002C680C"/>
    <w:rsid w:val="002D2AC9"/>
    <w:rsid w:val="002D7013"/>
    <w:rsid w:val="002D7131"/>
    <w:rsid w:val="002E06E3"/>
    <w:rsid w:val="002E0782"/>
    <w:rsid w:val="002E453F"/>
    <w:rsid w:val="002E5202"/>
    <w:rsid w:val="002F0180"/>
    <w:rsid w:val="002F5001"/>
    <w:rsid w:val="002F524F"/>
    <w:rsid w:val="002F63BF"/>
    <w:rsid w:val="002F770A"/>
    <w:rsid w:val="00300000"/>
    <w:rsid w:val="00301C39"/>
    <w:rsid w:val="003036D7"/>
    <w:rsid w:val="00306629"/>
    <w:rsid w:val="00310D3E"/>
    <w:rsid w:val="003121C4"/>
    <w:rsid w:val="00314A1B"/>
    <w:rsid w:val="00321E66"/>
    <w:rsid w:val="00322992"/>
    <w:rsid w:val="00331698"/>
    <w:rsid w:val="003354B4"/>
    <w:rsid w:val="00336328"/>
    <w:rsid w:val="003377EC"/>
    <w:rsid w:val="00337C65"/>
    <w:rsid w:val="00344624"/>
    <w:rsid w:val="00344B3B"/>
    <w:rsid w:val="00350F87"/>
    <w:rsid w:val="0035251E"/>
    <w:rsid w:val="00356505"/>
    <w:rsid w:val="003575D2"/>
    <w:rsid w:val="00357A61"/>
    <w:rsid w:val="00367BAD"/>
    <w:rsid w:val="00373032"/>
    <w:rsid w:val="003737C1"/>
    <w:rsid w:val="00375170"/>
    <w:rsid w:val="00375D6B"/>
    <w:rsid w:val="00386BFF"/>
    <w:rsid w:val="00386E99"/>
    <w:rsid w:val="00387601"/>
    <w:rsid w:val="003A0606"/>
    <w:rsid w:val="003A0DE1"/>
    <w:rsid w:val="003A128C"/>
    <w:rsid w:val="003A30A2"/>
    <w:rsid w:val="003A4D17"/>
    <w:rsid w:val="003B09EF"/>
    <w:rsid w:val="003B335F"/>
    <w:rsid w:val="003B4DB8"/>
    <w:rsid w:val="003B5BB2"/>
    <w:rsid w:val="003B6312"/>
    <w:rsid w:val="003B73F9"/>
    <w:rsid w:val="003C1AC4"/>
    <w:rsid w:val="003C240A"/>
    <w:rsid w:val="003C3566"/>
    <w:rsid w:val="003C37E8"/>
    <w:rsid w:val="003C6C64"/>
    <w:rsid w:val="003D0F18"/>
    <w:rsid w:val="003D1451"/>
    <w:rsid w:val="003D1729"/>
    <w:rsid w:val="003D1CBF"/>
    <w:rsid w:val="003D6561"/>
    <w:rsid w:val="003D69EE"/>
    <w:rsid w:val="003E03A8"/>
    <w:rsid w:val="003E1DD7"/>
    <w:rsid w:val="003E38B8"/>
    <w:rsid w:val="003E7684"/>
    <w:rsid w:val="003E7A54"/>
    <w:rsid w:val="003F014A"/>
    <w:rsid w:val="003F0E77"/>
    <w:rsid w:val="003F3819"/>
    <w:rsid w:val="003F7EE7"/>
    <w:rsid w:val="00400DE1"/>
    <w:rsid w:val="00401948"/>
    <w:rsid w:val="00406BB4"/>
    <w:rsid w:val="00407340"/>
    <w:rsid w:val="004075A8"/>
    <w:rsid w:val="00410228"/>
    <w:rsid w:val="00410D24"/>
    <w:rsid w:val="00411AFE"/>
    <w:rsid w:val="0041244E"/>
    <w:rsid w:val="00415E82"/>
    <w:rsid w:val="00416918"/>
    <w:rsid w:val="00420839"/>
    <w:rsid w:val="00421885"/>
    <w:rsid w:val="004234E4"/>
    <w:rsid w:val="004235EE"/>
    <w:rsid w:val="00424E58"/>
    <w:rsid w:val="004262AE"/>
    <w:rsid w:val="00426A23"/>
    <w:rsid w:val="00431964"/>
    <w:rsid w:val="00431AF9"/>
    <w:rsid w:val="004346DC"/>
    <w:rsid w:val="00434A6B"/>
    <w:rsid w:val="004360CB"/>
    <w:rsid w:val="004403AB"/>
    <w:rsid w:val="004441A1"/>
    <w:rsid w:val="004478DD"/>
    <w:rsid w:val="00456238"/>
    <w:rsid w:val="004564A5"/>
    <w:rsid w:val="004603E7"/>
    <w:rsid w:val="004621DB"/>
    <w:rsid w:val="00462D02"/>
    <w:rsid w:val="0046338E"/>
    <w:rsid w:val="00465CB5"/>
    <w:rsid w:val="00466410"/>
    <w:rsid w:val="00470073"/>
    <w:rsid w:val="0047220C"/>
    <w:rsid w:val="004742FA"/>
    <w:rsid w:val="004804EE"/>
    <w:rsid w:val="00480BB1"/>
    <w:rsid w:val="004811C2"/>
    <w:rsid w:val="00481768"/>
    <w:rsid w:val="00481839"/>
    <w:rsid w:val="00483052"/>
    <w:rsid w:val="00485DBC"/>
    <w:rsid w:val="0048690D"/>
    <w:rsid w:val="00487F3D"/>
    <w:rsid w:val="00490BD5"/>
    <w:rsid w:val="00491533"/>
    <w:rsid w:val="00491841"/>
    <w:rsid w:val="00493A6A"/>
    <w:rsid w:val="004942A9"/>
    <w:rsid w:val="0049541E"/>
    <w:rsid w:val="00496A90"/>
    <w:rsid w:val="004972CF"/>
    <w:rsid w:val="004A2BA5"/>
    <w:rsid w:val="004A3405"/>
    <w:rsid w:val="004A34E4"/>
    <w:rsid w:val="004A39FD"/>
    <w:rsid w:val="004A4AD7"/>
    <w:rsid w:val="004A564F"/>
    <w:rsid w:val="004A632A"/>
    <w:rsid w:val="004A6DCE"/>
    <w:rsid w:val="004A7DD0"/>
    <w:rsid w:val="004B0762"/>
    <w:rsid w:val="004B166E"/>
    <w:rsid w:val="004B2111"/>
    <w:rsid w:val="004B5232"/>
    <w:rsid w:val="004B78F2"/>
    <w:rsid w:val="004C1CF0"/>
    <w:rsid w:val="004C2FD9"/>
    <w:rsid w:val="004C535D"/>
    <w:rsid w:val="004D25B5"/>
    <w:rsid w:val="004D312C"/>
    <w:rsid w:val="004E3783"/>
    <w:rsid w:val="004E752F"/>
    <w:rsid w:val="004F1475"/>
    <w:rsid w:val="004F6DE4"/>
    <w:rsid w:val="00502E98"/>
    <w:rsid w:val="00510CE8"/>
    <w:rsid w:val="00516B94"/>
    <w:rsid w:val="005171FC"/>
    <w:rsid w:val="00523606"/>
    <w:rsid w:val="005269D9"/>
    <w:rsid w:val="00527256"/>
    <w:rsid w:val="00527923"/>
    <w:rsid w:val="00536DAF"/>
    <w:rsid w:val="00540849"/>
    <w:rsid w:val="005417B3"/>
    <w:rsid w:val="00544FAE"/>
    <w:rsid w:val="00551433"/>
    <w:rsid w:val="00551DB4"/>
    <w:rsid w:val="00551E86"/>
    <w:rsid w:val="005525FC"/>
    <w:rsid w:val="00553EDF"/>
    <w:rsid w:val="00560DE5"/>
    <w:rsid w:val="00561006"/>
    <w:rsid w:val="005610FE"/>
    <w:rsid w:val="005613D4"/>
    <w:rsid w:val="00562B73"/>
    <w:rsid w:val="00563E25"/>
    <w:rsid w:val="00564CAA"/>
    <w:rsid w:val="00567FE3"/>
    <w:rsid w:val="005704FD"/>
    <w:rsid w:val="00571FDE"/>
    <w:rsid w:val="00572C2E"/>
    <w:rsid w:val="00574631"/>
    <w:rsid w:val="00586F48"/>
    <w:rsid w:val="0058706E"/>
    <w:rsid w:val="005904DE"/>
    <w:rsid w:val="00591793"/>
    <w:rsid w:val="005919A6"/>
    <w:rsid w:val="00592935"/>
    <w:rsid w:val="00594B38"/>
    <w:rsid w:val="00595D9E"/>
    <w:rsid w:val="00596CB8"/>
    <w:rsid w:val="00597493"/>
    <w:rsid w:val="005A23D5"/>
    <w:rsid w:val="005A2617"/>
    <w:rsid w:val="005B0C05"/>
    <w:rsid w:val="005B4777"/>
    <w:rsid w:val="005C1660"/>
    <w:rsid w:val="005C32C4"/>
    <w:rsid w:val="005C3CDF"/>
    <w:rsid w:val="005C49A1"/>
    <w:rsid w:val="005D2205"/>
    <w:rsid w:val="005D260C"/>
    <w:rsid w:val="005D2C43"/>
    <w:rsid w:val="005D480E"/>
    <w:rsid w:val="005D770E"/>
    <w:rsid w:val="005F1221"/>
    <w:rsid w:val="005F1437"/>
    <w:rsid w:val="005F14EC"/>
    <w:rsid w:val="005F695E"/>
    <w:rsid w:val="0060203D"/>
    <w:rsid w:val="006029F4"/>
    <w:rsid w:val="00602F61"/>
    <w:rsid w:val="006047F6"/>
    <w:rsid w:val="00605D81"/>
    <w:rsid w:val="006104F4"/>
    <w:rsid w:val="006158CD"/>
    <w:rsid w:val="00616CE5"/>
    <w:rsid w:val="00621F1C"/>
    <w:rsid w:val="006239EE"/>
    <w:rsid w:val="0062707F"/>
    <w:rsid w:val="006314CD"/>
    <w:rsid w:val="00632374"/>
    <w:rsid w:val="0063625C"/>
    <w:rsid w:val="00641B4D"/>
    <w:rsid w:val="00642B56"/>
    <w:rsid w:val="0065474B"/>
    <w:rsid w:val="00655907"/>
    <w:rsid w:val="006636C1"/>
    <w:rsid w:val="00663960"/>
    <w:rsid w:val="00667D9F"/>
    <w:rsid w:val="0067646E"/>
    <w:rsid w:val="006778EC"/>
    <w:rsid w:val="00684BA9"/>
    <w:rsid w:val="0068558F"/>
    <w:rsid w:val="0068608C"/>
    <w:rsid w:val="006936E6"/>
    <w:rsid w:val="00693B6B"/>
    <w:rsid w:val="00694D93"/>
    <w:rsid w:val="006A4778"/>
    <w:rsid w:val="006A5939"/>
    <w:rsid w:val="006A6652"/>
    <w:rsid w:val="006B71ED"/>
    <w:rsid w:val="006C28A4"/>
    <w:rsid w:val="006C35D5"/>
    <w:rsid w:val="006C3C11"/>
    <w:rsid w:val="006C7C1D"/>
    <w:rsid w:val="006D095A"/>
    <w:rsid w:val="006D1D8E"/>
    <w:rsid w:val="006D33A1"/>
    <w:rsid w:val="006D62AE"/>
    <w:rsid w:val="006E1DB6"/>
    <w:rsid w:val="006E3AFA"/>
    <w:rsid w:val="006E52EC"/>
    <w:rsid w:val="006E640F"/>
    <w:rsid w:val="006F4BB1"/>
    <w:rsid w:val="006F52D1"/>
    <w:rsid w:val="006F6C50"/>
    <w:rsid w:val="006F6DF7"/>
    <w:rsid w:val="006F707D"/>
    <w:rsid w:val="00700296"/>
    <w:rsid w:val="007002F1"/>
    <w:rsid w:val="00700CE1"/>
    <w:rsid w:val="00701511"/>
    <w:rsid w:val="0070446A"/>
    <w:rsid w:val="00707381"/>
    <w:rsid w:val="00715436"/>
    <w:rsid w:val="00716B6E"/>
    <w:rsid w:val="00722352"/>
    <w:rsid w:val="00725D8F"/>
    <w:rsid w:val="00727AEB"/>
    <w:rsid w:val="007311DB"/>
    <w:rsid w:val="00731E22"/>
    <w:rsid w:val="007356D1"/>
    <w:rsid w:val="00735A87"/>
    <w:rsid w:val="007366A3"/>
    <w:rsid w:val="007504B3"/>
    <w:rsid w:val="0075110D"/>
    <w:rsid w:val="00751806"/>
    <w:rsid w:val="00762750"/>
    <w:rsid w:val="007643F0"/>
    <w:rsid w:val="00771454"/>
    <w:rsid w:val="00775AE4"/>
    <w:rsid w:val="00775C6A"/>
    <w:rsid w:val="00777D12"/>
    <w:rsid w:val="00780495"/>
    <w:rsid w:val="00780DE8"/>
    <w:rsid w:val="00781229"/>
    <w:rsid w:val="00782633"/>
    <w:rsid w:val="0078373D"/>
    <w:rsid w:val="0078610C"/>
    <w:rsid w:val="007865DC"/>
    <w:rsid w:val="00791199"/>
    <w:rsid w:val="00794509"/>
    <w:rsid w:val="00796DE9"/>
    <w:rsid w:val="007A3309"/>
    <w:rsid w:val="007A7254"/>
    <w:rsid w:val="007A7CAD"/>
    <w:rsid w:val="007B04D7"/>
    <w:rsid w:val="007B33F6"/>
    <w:rsid w:val="007B44F4"/>
    <w:rsid w:val="007B7C56"/>
    <w:rsid w:val="007C23DD"/>
    <w:rsid w:val="007C2606"/>
    <w:rsid w:val="007C48AB"/>
    <w:rsid w:val="007C7744"/>
    <w:rsid w:val="007D099C"/>
    <w:rsid w:val="007D182A"/>
    <w:rsid w:val="007D4177"/>
    <w:rsid w:val="007E0C09"/>
    <w:rsid w:val="007E0EC9"/>
    <w:rsid w:val="007E20CC"/>
    <w:rsid w:val="007E4A83"/>
    <w:rsid w:val="007E58DB"/>
    <w:rsid w:val="007F32FC"/>
    <w:rsid w:val="007F4D78"/>
    <w:rsid w:val="007F5F87"/>
    <w:rsid w:val="007F7A1F"/>
    <w:rsid w:val="00801441"/>
    <w:rsid w:val="0080271D"/>
    <w:rsid w:val="00802B0D"/>
    <w:rsid w:val="00802FF9"/>
    <w:rsid w:val="0080587D"/>
    <w:rsid w:val="00806111"/>
    <w:rsid w:val="00811100"/>
    <w:rsid w:val="00812B91"/>
    <w:rsid w:val="00812DB2"/>
    <w:rsid w:val="0081419E"/>
    <w:rsid w:val="008168C5"/>
    <w:rsid w:val="008174B3"/>
    <w:rsid w:val="008179B3"/>
    <w:rsid w:val="00822004"/>
    <w:rsid w:val="00822713"/>
    <w:rsid w:val="008246DA"/>
    <w:rsid w:val="00824757"/>
    <w:rsid w:val="0082475C"/>
    <w:rsid w:val="00826886"/>
    <w:rsid w:val="00830269"/>
    <w:rsid w:val="00831779"/>
    <w:rsid w:val="00834999"/>
    <w:rsid w:val="00834EDB"/>
    <w:rsid w:val="00836C87"/>
    <w:rsid w:val="00836D5C"/>
    <w:rsid w:val="0084048C"/>
    <w:rsid w:val="0084086B"/>
    <w:rsid w:val="008438B2"/>
    <w:rsid w:val="00843DF2"/>
    <w:rsid w:val="00844346"/>
    <w:rsid w:val="00846E7C"/>
    <w:rsid w:val="00851375"/>
    <w:rsid w:val="008519B8"/>
    <w:rsid w:val="00852331"/>
    <w:rsid w:val="008540F4"/>
    <w:rsid w:val="00854ABA"/>
    <w:rsid w:val="008578BC"/>
    <w:rsid w:val="0086122C"/>
    <w:rsid w:val="008615E0"/>
    <w:rsid w:val="0086173F"/>
    <w:rsid w:val="00865FCA"/>
    <w:rsid w:val="00871983"/>
    <w:rsid w:val="0087421B"/>
    <w:rsid w:val="00874FD7"/>
    <w:rsid w:val="00875100"/>
    <w:rsid w:val="00880AA5"/>
    <w:rsid w:val="0088397E"/>
    <w:rsid w:val="00886F15"/>
    <w:rsid w:val="00886F8F"/>
    <w:rsid w:val="0088744E"/>
    <w:rsid w:val="008918DF"/>
    <w:rsid w:val="00891C87"/>
    <w:rsid w:val="008A4831"/>
    <w:rsid w:val="008B0863"/>
    <w:rsid w:val="008B26FF"/>
    <w:rsid w:val="008C0F35"/>
    <w:rsid w:val="008D0B3A"/>
    <w:rsid w:val="008D1B48"/>
    <w:rsid w:val="008D2B54"/>
    <w:rsid w:val="008D4A0B"/>
    <w:rsid w:val="008D55B0"/>
    <w:rsid w:val="008D6AB5"/>
    <w:rsid w:val="008E01B3"/>
    <w:rsid w:val="008E224D"/>
    <w:rsid w:val="008E257F"/>
    <w:rsid w:val="008F23C3"/>
    <w:rsid w:val="008F4E0B"/>
    <w:rsid w:val="009008E9"/>
    <w:rsid w:val="00901F3A"/>
    <w:rsid w:val="0090232A"/>
    <w:rsid w:val="0090683A"/>
    <w:rsid w:val="00907C35"/>
    <w:rsid w:val="00913EEC"/>
    <w:rsid w:val="009145E5"/>
    <w:rsid w:val="0091479F"/>
    <w:rsid w:val="009149B8"/>
    <w:rsid w:val="00917491"/>
    <w:rsid w:val="00920C5E"/>
    <w:rsid w:val="0092116F"/>
    <w:rsid w:val="00921DCE"/>
    <w:rsid w:val="00923771"/>
    <w:rsid w:val="00924C16"/>
    <w:rsid w:val="00926163"/>
    <w:rsid w:val="00926401"/>
    <w:rsid w:val="00930F04"/>
    <w:rsid w:val="009370F7"/>
    <w:rsid w:val="009452ED"/>
    <w:rsid w:val="00950F52"/>
    <w:rsid w:val="009525EB"/>
    <w:rsid w:val="00952CF7"/>
    <w:rsid w:val="00953F38"/>
    <w:rsid w:val="0095576E"/>
    <w:rsid w:val="00955BB3"/>
    <w:rsid w:val="00962489"/>
    <w:rsid w:val="00970572"/>
    <w:rsid w:val="0097066F"/>
    <w:rsid w:val="00970776"/>
    <w:rsid w:val="009803EC"/>
    <w:rsid w:val="00980754"/>
    <w:rsid w:val="00980FE4"/>
    <w:rsid w:val="0098598D"/>
    <w:rsid w:val="00987CCB"/>
    <w:rsid w:val="00997C52"/>
    <w:rsid w:val="009A0486"/>
    <w:rsid w:val="009A2C7C"/>
    <w:rsid w:val="009A310F"/>
    <w:rsid w:val="009A3CB7"/>
    <w:rsid w:val="009A615F"/>
    <w:rsid w:val="009B0832"/>
    <w:rsid w:val="009B24DD"/>
    <w:rsid w:val="009B5F29"/>
    <w:rsid w:val="009C2756"/>
    <w:rsid w:val="009C7D56"/>
    <w:rsid w:val="009D3CC7"/>
    <w:rsid w:val="009D6E1C"/>
    <w:rsid w:val="009D7C35"/>
    <w:rsid w:val="009E5672"/>
    <w:rsid w:val="009E6E27"/>
    <w:rsid w:val="009F127D"/>
    <w:rsid w:val="009F1A02"/>
    <w:rsid w:val="009F2FA8"/>
    <w:rsid w:val="009F3580"/>
    <w:rsid w:val="009F4485"/>
    <w:rsid w:val="009F62B9"/>
    <w:rsid w:val="009F66DB"/>
    <w:rsid w:val="00A011B2"/>
    <w:rsid w:val="00A01C60"/>
    <w:rsid w:val="00A057E2"/>
    <w:rsid w:val="00A1103C"/>
    <w:rsid w:val="00A1193C"/>
    <w:rsid w:val="00A1398F"/>
    <w:rsid w:val="00A1746E"/>
    <w:rsid w:val="00A209FF"/>
    <w:rsid w:val="00A20CC8"/>
    <w:rsid w:val="00A23884"/>
    <w:rsid w:val="00A308BE"/>
    <w:rsid w:val="00A32DF7"/>
    <w:rsid w:val="00A342B5"/>
    <w:rsid w:val="00A370E9"/>
    <w:rsid w:val="00A40055"/>
    <w:rsid w:val="00A402DE"/>
    <w:rsid w:val="00A46F09"/>
    <w:rsid w:val="00A51378"/>
    <w:rsid w:val="00A527E4"/>
    <w:rsid w:val="00A52D53"/>
    <w:rsid w:val="00A671D5"/>
    <w:rsid w:val="00A674B3"/>
    <w:rsid w:val="00A76472"/>
    <w:rsid w:val="00A7722A"/>
    <w:rsid w:val="00A8728A"/>
    <w:rsid w:val="00A87B82"/>
    <w:rsid w:val="00A9106E"/>
    <w:rsid w:val="00A910FA"/>
    <w:rsid w:val="00A912B2"/>
    <w:rsid w:val="00A93457"/>
    <w:rsid w:val="00A950B5"/>
    <w:rsid w:val="00AA0AD0"/>
    <w:rsid w:val="00AA1456"/>
    <w:rsid w:val="00AA1F42"/>
    <w:rsid w:val="00AA34C6"/>
    <w:rsid w:val="00AA4457"/>
    <w:rsid w:val="00AA6DA5"/>
    <w:rsid w:val="00AB3AAE"/>
    <w:rsid w:val="00AB52A6"/>
    <w:rsid w:val="00AC0D2A"/>
    <w:rsid w:val="00AC1BE8"/>
    <w:rsid w:val="00AC43D7"/>
    <w:rsid w:val="00AD15B2"/>
    <w:rsid w:val="00AD51F9"/>
    <w:rsid w:val="00AD5224"/>
    <w:rsid w:val="00AD534F"/>
    <w:rsid w:val="00AE0455"/>
    <w:rsid w:val="00AE10A2"/>
    <w:rsid w:val="00AE1A7E"/>
    <w:rsid w:val="00AE2A54"/>
    <w:rsid w:val="00AE3889"/>
    <w:rsid w:val="00AE64F2"/>
    <w:rsid w:val="00AE6855"/>
    <w:rsid w:val="00AE6A3A"/>
    <w:rsid w:val="00AF2591"/>
    <w:rsid w:val="00AF49A0"/>
    <w:rsid w:val="00B000FB"/>
    <w:rsid w:val="00B005A7"/>
    <w:rsid w:val="00B00611"/>
    <w:rsid w:val="00B01000"/>
    <w:rsid w:val="00B0133B"/>
    <w:rsid w:val="00B037E7"/>
    <w:rsid w:val="00B038F6"/>
    <w:rsid w:val="00B03A8E"/>
    <w:rsid w:val="00B131DD"/>
    <w:rsid w:val="00B14276"/>
    <w:rsid w:val="00B147DB"/>
    <w:rsid w:val="00B17A8E"/>
    <w:rsid w:val="00B22436"/>
    <w:rsid w:val="00B255D5"/>
    <w:rsid w:val="00B264D8"/>
    <w:rsid w:val="00B3073A"/>
    <w:rsid w:val="00B30895"/>
    <w:rsid w:val="00B31B05"/>
    <w:rsid w:val="00B31D0E"/>
    <w:rsid w:val="00B321DC"/>
    <w:rsid w:val="00B34DB2"/>
    <w:rsid w:val="00B3604E"/>
    <w:rsid w:val="00B41948"/>
    <w:rsid w:val="00B420EF"/>
    <w:rsid w:val="00B51039"/>
    <w:rsid w:val="00B56D46"/>
    <w:rsid w:val="00B579C5"/>
    <w:rsid w:val="00B63B5E"/>
    <w:rsid w:val="00B64195"/>
    <w:rsid w:val="00B6597C"/>
    <w:rsid w:val="00B667C4"/>
    <w:rsid w:val="00B71644"/>
    <w:rsid w:val="00B74D55"/>
    <w:rsid w:val="00B76EF8"/>
    <w:rsid w:val="00B81B82"/>
    <w:rsid w:val="00B82BFF"/>
    <w:rsid w:val="00B865E9"/>
    <w:rsid w:val="00B91360"/>
    <w:rsid w:val="00B9139B"/>
    <w:rsid w:val="00B91A76"/>
    <w:rsid w:val="00B94762"/>
    <w:rsid w:val="00B962AA"/>
    <w:rsid w:val="00BA24BB"/>
    <w:rsid w:val="00BB00D2"/>
    <w:rsid w:val="00BB160B"/>
    <w:rsid w:val="00BB3ADD"/>
    <w:rsid w:val="00BC0173"/>
    <w:rsid w:val="00BC73E5"/>
    <w:rsid w:val="00BD1B2D"/>
    <w:rsid w:val="00BD384B"/>
    <w:rsid w:val="00BD3D26"/>
    <w:rsid w:val="00BD40C2"/>
    <w:rsid w:val="00BD4CCF"/>
    <w:rsid w:val="00BD5A42"/>
    <w:rsid w:val="00BE1DE3"/>
    <w:rsid w:val="00BF18C0"/>
    <w:rsid w:val="00BF6F8E"/>
    <w:rsid w:val="00C03FE2"/>
    <w:rsid w:val="00C04E60"/>
    <w:rsid w:val="00C060BC"/>
    <w:rsid w:val="00C06E37"/>
    <w:rsid w:val="00C07B47"/>
    <w:rsid w:val="00C07D85"/>
    <w:rsid w:val="00C11CF8"/>
    <w:rsid w:val="00C16228"/>
    <w:rsid w:val="00C16885"/>
    <w:rsid w:val="00C2479C"/>
    <w:rsid w:val="00C26C17"/>
    <w:rsid w:val="00C30ECA"/>
    <w:rsid w:val="00C31CA3"/>
    <w:rsid w:val="00C32F53"/>
    <w:rsid w:val="00C342DA"/>
    <w:rsid w:val="00C35B71"/>
    <w:rsid w:val="00C37681"/>
    <w:rsid w:val="00C45183"/>
    <w:rsid w:val="00C46AAF"/>
    <w:rsid w:val="00C46BE2"/>
    <w:rsid w:val="00C47C1F"/>
    <w:rsid w:val="00C47F5E"/>
    <w:rsid w:val="00C51E2D"/>
    <w:rsid w:val="00C56392"/>
    <w:rsid w:val="00C5640A"/>
    <w:rsid w:val="00C57133"/>
    <w:rsid w:val="00C66BD4"/>
    <w:rsid w:val="00C72B8E"/>
    <w:rsid w:val="00C77D36"/>
    <w:rsid w:val="00C8048A"/>
    <w:rsid w:val="00C8064B"/>
    <w:rsid w:val="00C81C08"/>
    <w:rsid w:val="00C82348"/>
    <w:rsid w:val="00C83498"/>
    <w:rsid w:val="00C85FFE"/>
    <w:rsid w:val="00C876A7"/>
    <w:rsid w:val="00C95573"/>
    <w:rsid w:val="00C955E6"/>
    <w:rsid w:val="00CA0AAC"/>
    <w:rsid w:val="00CA2A02"/>
    <w:rsid w:val="00CA665C"/>
    <w:rsid w:val="00CB0C98"/>
    <w:rsid w:val="00CB219A"/>
    <w:rsid w:val="00CB441A"/>
    <w:rsid w:val="00CB5F84"/>
    <w:rsid w:val="00CC4504"/>
    <w:rsid w:val="00CD3C4B"/>
    <w:rsid w:val="00CD47DB"/>
    <w:rsid w:val="00CD6D2A"/>
    <w:rsid w:val="00CE0DFD"/>
    <w:rsid w:val="00CE1F3B"/>
    <w:rsid w:val="00CE4D4F"/>
    <w:rsid w:val="00CE4E74"/>
    <w:rsid w:val="00CE788D"/>
    <w:rsid w:val="00CF029B"/>
    <w:rsid w:val="00CF0F47"/>
    <w:rsid w:val="00CF5345"/>
    <w:rsid w:val="00D03672"/>
    <w:rsid w:val="00D037B3"/>
    <w:rsid w:val="00D04CF1"/>
    <w:rsid w:val="00D06BEF"/>
    <w:rsid w:val="00D071CE"/>
    <w:rsid w:val="00D10DCD"/>
    <w:rsid w:val="00D11C70"/>
    <w:rsid w:val="00D12519"/>
    <w:rsid w:val="00D17669"/>
    <w:rsid w:val="00D27C2A"/>
    <w:rsid w:val="00D300BD"/>
    <w:rsid w:val="00D33DA5"/>
    <w:rsid w:val="00D3668D"/>
    <w:rsid w:val="00D37BD7"/>
    <w:rsid w:val="00D41712"/>
    <w:rsid w:val="00D422DD"/>
    <w:rsid w:val="00D4294B"/>
    <w:rsid w:val="00D439CD"/>
    <w:rsid w:val="00D467BE"/>
    <w:rsid w:val="00D50856"/>
    <w:rsid w:val="00D54B30"/>
    <w:rsid w:val="00D56A83"/>
    <w:rsid w:val="00D6024B"/>
    <w:rsid w:val="00D60BD1"/>
    <w:rsid w:val="00D61253"/>
    <w:rsid w:val="00D61615"/>
    <w:rsid w:val="00D618D3"/>
    <w:rsid w:val="00D61CE2"/>
    <w:rsid w:val="00D63D12"/>
    <w:rsid w:val="00D658E4"/>
    <w:rsid w:val="00D7241D"/>
    <w:rsid w:val="00D74DD5"/>
    <w:rsid w:val="00D7683A"/>
    <w:rsid w:val="00D77D24"/>
    <w:rsid w:val="00D80216"/>
    <w:rsid w:val="00D87CEB"/>
    <w:rsid w:val="00D916EC"/>
    <w:rsid w:val="00D918AF"/>
    <w:rsid w:val="00D935E3"/>
    <w:rsid w:val="00D940A7"/>
    <w:rsid w:val="00D94A82"/>
    <w:rsid w:val="00D96B89"/>
    <w:rsid w:val="00DA059E"/>
    <w:rsid w:val="00DA2668"/>
    <w:rsid w:val="00DA3C5E"/>
    <w:rsid w:val="00DA4EB2"/>
    <w:rsid w:val="00DA5727"/>
    <w:rsid w:val="00DA7656"/>
    <w:rsid w:val="00DB3158"/>
    <w:rsid w:val="00DB32F8"/>
    <w:rsid w:val="00DB35AA"/>
    <w:rsid w:val="00DB374C"/>
    <w:rsid w:val="00DC062B"/>
    <w:rsid w:val="00DC1637"/>
    <w:rsid w:val="00DC2205"/>
    <w:rsid w:val="00DC6ABE"/>
    <w:rsid w:val="00DC717E"/>
    <w:rsid w:val="00DC7B82"/>
    <w:rsid w:val="00DD17C3"/>
    <w:rsid w:val="00DD1873"/>
    <w:rsid w:val="00DD2F4D"/>
    <w:rsid w:val="00DD5EC6"/>
    <w:rsid w:val="00DE4799"/>
    <w:rsid w:val="00DE4D5C"/>
    <w:rsid w:val="00DE5A47"/>
    <w:rsid w:val="00DE5FC8"/>
    <w:rsid w:val="00DE6699"/>
    <w:rsid w:val="00DE6D1D"/>
    <w:rsid w:val="00DE72BE"/>
    <w:rsid w:val="00DF325B"/>
    <w:rsid w:val="00E031F7"/>
    <w:rsid w:val="00E0398C"/>
    <w:rsid w:val="00E07A30"/>
    <w:rsid w:val="00E07CE7"/>
    <w:rsid w:val="00E10334"/>
    <w:rsid w:val="00E15045"/>
    <w:rsid w:val="00E1650A"/>
    <w:rsid w:val="00E16805"/>
    <w:rsid w:val="00E20D82"/>
    <w:rsid w:val="00E222FD"/>
    <w:rsid w:val="00E22704"/>
    <w:rsid w:val="00E26549"/>
    <w:rsid w:val="00E30F9F"/>
    <w:rsid w:val="00E3203A"/>
    <w:rsid w:val="00E33D6B"/>
    <w:rsid w:val="00E34D14"/>
    <w:rsid w:val="00E35E23"/>
    <w:rsid w:val="00E36FF6"/>
    <w:rsid w:val="00E43B68"/>
    <w:rsid w:val="00E45C13"/>
    <w:rsid w:val="00E46E3F"/>
    <w:rsid w:val="00E47CC9"/>
    <w:rsid w:val="00E5322F"/>
    <w:rsid w:val="00E54152"/>
    <w:rsid w:val="00E5437B"/>
    <w:rsid w:val="00E548AF"/>
    <w:rsid w:val="00E55A37"/>
    <w:rsid w:val="00E604AD"/>
    <w:rsid w:val="00E61E2D"/>
    <w:rsid w:val="00E64820"/>
    <w:rsid w:val="00E66817"/>
    <w:rsid w:val="00E7147D"/>
    <w:rsid w:val="00E72124"/>
    <w:rsid w:val="00E74E8A"/>
    <w:rsid w:val="00E76E11"/>
    <w:rsid w:val="00E81BDF"/>
    <w:rsid w:val="00E82A6D"/>
    <w:rsid w:val="00E83281"/>
    <w:rsid w:val="00E84468"/>
    <w:rsid w:val="00E85603"/>
    <w:rsid w:val="00E87692"/>
    <w:rsid w:val="00E878B0"/>
    <w:rsid w:val="00E879D0"/>
    <w:rsid w:val="00E9373C"/>
    <w:rsid w:val="00E97C68"/>
    <w:rsid w:val="00EA286D"/>
    <w:rsid w:val="00EA3457"/>
    <w:rsid w:val="00EB016E"/>
    <w:rsid w:val="00EB2ABA"/>
    <w:rsid w:val="00EB6500"/>
    <w:rsid w:val="00EB7AAC"/>
    <w:rsid w:val="00EB7D00"/>
    <w:rsid w:val="00EB7F36"/>
    <w:rsid w:val="00EC1FA8"/>
    <w:rsid w:val="00EC30F0"/>
    <w:rsid w:val="00EC3DA5"/>
    <w:rsid w:val="00EC5457"/>
    <w:rsid w:val="00EC5EC6"/>
    <w:rsid w:val="00EC5FD5"/>
    <w:rsid w:val="00EC7297"/>
    <w:rsid w:val="00ED12E1"/>
    <w:rsid w:val="00ED134F"/>
    <w:rsid w:val="00ED135F"/>
    <w:rsid w:val="00ED2AEE"/>
    <w:rsid w:val="00ED5C9C"/>
    <w:rsid w:val="00EE14FE"/>
    <w:rsid w:val="00EE22D9"/>
    <w:rsid w:val="00EE5DCA"/>
    <w:rsid w:val="00EE613E"/>
    <w:rsid w:val="00EE7205"/>
    <w:rsid w:val="00EF2AA1"/>
    <w:rsid w:val="00EF6740"/>
    <w:rsid w:val="00F03029"/>
    <w:rsid w:val="00F03A6D"/>
    <w:rsid w:val="00F11795"/>
    <w:rsid w:val="00F1244D"/>
    <w:rsid w:val="00F16C2C"/>
    <w:rsid w:val="00F20C91"/>
    <w:rsid w:val="00F212EA"/>
    <w:rsid w:val="00F24220"/>
    <w:rsid w:val="00F2781A"/>
    <w:rsid w:val="00F304D9"/>
    <w:rsid w:val="00F32CD5"/>
    <w:rsid w:val="00F3490B"/>
    <w:rsid w:val="00F368A8"/>
    <w:rsid w:val="00F42E7B"/>
    <w:rsid w:val="00F4387D"/>
    <w:rsid w:val="00F44334"/>
    <w:rsid w:val="00F46ADE"/>
    <w:rsid w:val="00F501ED"/>
    <w:rsid w:val="00F50A56"/>
    <w:rsid w:val="00F50CB0"/>
    <w:rsid w:val="00F563A7"/>
    <w:rsid w:val="00F57E41"/>
    <w:rsid w:val="00F60F54"/>
    <w:rsid w:val="00F659EC"/>
    <w:rsid w:val="00F7169D"/>
    <w:rsid w:val="00F736CB"/>
    <w:rsid w:val="00F74E34"/>
    <w:rsid w:val="00F7668F"/>
    <w:rsid w:val="00F772BD"/>
    <w:rsid w:val="00F846A7"/>
    <w:rsid w:val="00F85024"/>
    <w:rsid w:val="00F8555F"/>
    <w:rsid w:val="00F87A6D"/>
    <w:rsid w:val="00F87AA4"/>
    <w:rsid w:val="00F926D0"/>
    <w:rsid w:val="00F95277"/>
    <w:rsid w:val="00F96D5C"/>
    <w:rsid w:val="00FA123C"/>
    <w:rsid w:val="00FA1E0D"/>
    <w:rsid w:val="00FA3E3D"/>
    <w:rsid w:val="00FA5899"/>
    <w:rsid w:val="00FA74D3"/>
    <w:rsid w:val="00FB2A46"/>
    <w:rsid w:val="00FB5474"/>
    <w:rsid w:val="00FB7EA1"/>
    <w:rsid w:val="00FC218E"/>
    <w:rsid w:val="00FC6666"/>
    <w:rsid w:val="00FD1B47"/>
    <w:rsid w:val="00FD2B72"/>
    <w:rsid w:val="00FD3217"/>
    <w:rsid w:val="00FD46B7"/>
    <w:rsid w:val="00FD4F0C"/>
    <w:rsid w:val="00FD6F09"/>
    <w:rsid w:val="00FD7D36"/>
    <w:rsid w:val="00FE01A8"/>
    <w:rsid w:val="00FE025F"/>
    <w:rsid w:val="00FE0372"/>
    <w:rsid w:val="00FE0821"/>
    <w:rsid w:val="00FE0D64"/>
    <w:rsid w:val="00FE1E3F"/>
    <w:rsid w:val="00FE4122"/>
    <w:rsid w:val="00FE415E"/>
    <w:rsid w:val="00FE66A1"/>
    <w:rsid w:val="00FF0EFD"/>
    <w:rsid w:val="00FF247D"/>
    <w:rsid w:val="00FF6D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5D5"/>
    <w:pPr>
      <w:widowControl w:val="0"/>
      <w:jc w:val="both"/>
    </w:pPr>
  </w:style>
  <w:style w:type="paragraph" w:styleId="1">
    <w:name w:val="heading 1"/>
    <w:basedOn w:val="a"/>
    <w:link w:val="1Char"/>
    <w:uiPriority w:val="9"/>
    <w:qFormat/>
    <w:rsid w:val="00001DC1"/>
    <w:pPr>
      <w:widowControl/>
      <w:spacing w:before="100" w:beforeAutospacing="1" w:after="100" w:afterAutospacing="1"/>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1D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1DC1"/>
    <w:rPr>
      <w:sz w:val="18"/>
      <w:szCs w:val="18"/>
    </w:rPr>
  </w:style>
  <w:style w:type="paragraph" w:styleId="a4">
    <w:name w:val="footer"/>
    <w:basedOn w:val="a"/>
    <w:link w:val="Char0"/>
    <w:uiPriority w:val="99"/>
    <w:semiHidden/>
    <w:unhideWhenUsed/>
    <w:rsid w:val="00001DC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01DC1"/>
    <w:rPr>
      <w:sz w:val="18"/>
      <w:szCs w:val="18"/>
    </w:rPr>
  </w:style>
  <w:style w:type="character" w:customStyle="1" w:styleId="1Char">
    <w:name w:val="标题 1 Char"/>
    <w:basedOn w:val="a0"/>
    <w:link w:val="1"/>
    <w:uiPriority w:val="9"/>
    <w:rsid w:val="00001DC1"/>
    <w:rPr>
      <w:rFonts w:ascii="宋体" w:eastAsia="宋体" w:hAnsi="宋体" w:cs="宋体"/>
      <w:b/>
      <w:bCs/>
      <w:kern w:val="36"/>
      <w:sz w:val="24"/>
      <w:szCs w:val="24"/>
    </w:rPr>
  </w:style>
  <w:style w:type="paragraph" w:customStyle="1" w:styleId="article-date">
    <w:name w:val="article-date"/>
    <w:basedOn w:val="a"/>
    <w:rsid w:val="00001DC1"/>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001DC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76476144">
      <w:bodyDiv w:val="1"/>
      <w:marLeft w:val="0"/>
      <w:marRight w:val="0"/>
      <w:marTop w:val="0"/>
      <w:marBottom w:val="0"/>
      <w:divBdr>
        <w:top w:val="none" w:sz="0" w:space="0" w:color="auto"/>
        <w:left w:val="none" w:sz="0" w:space="0" w:color="auto"/>
        <w:bottom w:val="none" w:sz="0" w:space="0" w:color="auto"/>
        <w:right w:val="none" w:sz="0" w:space="0" w:color="auto"/>
      </w:divBdr>
      <w:divsChild>
        <w:div w:id="1935436960">
          <w:marLeft w:val="0"/>
          <w:marRight w:val="0"/>
          <w:marTop w:val="0"/>
          <w:marBottom w:val="0"/>
          <w:divBdr>
            <w:top w:val="none" w:sz="0" w:space="0" w:color="auto"/>
            <w:left w:val="none" w:sz="0" w:space="0" w:color="auto"/>
            <w:bottom w:val="none" w:sz="0" w:space="0" w:color="auto"/>
            <w:right w:val="none" w:sz="0" w:space="0" w:color="auto"/>
          </w:divBdr>
          <w:divsChild>
            <w:div w:id="530343119">
              <w:marLeft w:val="0"/>
              <w:marRight w:val="0"/>
              <w:marTop w:val="75"/>
              <w:marBottom w:val="0"/>
              <w:divBdr>
                <w:top w:val="none" w:sz="0" w:space="0" w:color="auto"/>
                <w:left w:val="none" w:sz="0" w:space="0" w:color="auto"/>
                <w:bottom w:val="none" w:sz="0" w:space="0" w:color="auto"/>
                <w:right w:val="none" w:sz="0" w:space="0" w:color="auto"/>
              </w:divBdr>
              <w:divsChild>
                <w:div w:id="1233811725">
                  <w:marLeft w:val="0"/>
                  <w:marRight w:val="0"/>
                  <w:marTop w:val="0"/>
                  <w:marBottom w:val="0"/>
                  <w:divBdr>
                    <w:top w:val="none" w:sz="0" w:space="0" w:color="auto"/>
                    <w:left w:val="none" w:sz="0" w:space="0" w:color="auto"/>
                    <w:bottom w:val="none" w:sz="0" w:space="0" w:color="auto"/>
                    <w:right w:val="none" w:sz="0" w:space="0" w:color="auto"/>
                  </w:divBdr>
                  <w:divsChild>
                    <w:div w:id="6325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1989</Words>
  <Characters>11343</Characters>
  <Application>Microsoft Office Word</Application>
  <DocSecurity>0</DocSecurity>
  <Lines>94</Lines>
  <Paragraphs>26</Paragraphs>
  <ScaleCrop>false</ScaleCrop>
  <Company>Microsoft</Company>
  <LinksUpToDate>false</LinksUpToDate>
  <CharactersWithSpaces>13306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陈明强</dc:creator>
  <cp:keywords/>
  <dc:description/>
  <cp:lastModifiedBy>陈明强</cp:lastModifiedBy>
  <cp:revision>2</cp:revision>
  <dcterms:created xsi:type="dcterms:W3CDTF">2016-12-13T08:02:00Z</dcterms:created>
  <dcterms:modified xsi:type="dcterms:W3CDTF">2016-12-13T08:03:00Z</dcterms:modified>
</cp:coreProperties>
</file>